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94DB" w14:textId="77777777" w:rsidR="00180ABF" w:rsidRPr="005B3B33" w:rsidRDefault="00180ABF" w:rsidP="00C84E82">
      <w:pPr>
        <w:rPr>
          <w:rFonts w:ascii="Nirmala UI" w:hAnsi="Nirmala UI" w:cs="Nirmala UI"/>
          <w:szCs w:val="21"/>
        </w:rPr>
        <w:sectPr w:rsidR="00180ABF" w:rsidRPr="005B3B33" w:rsidSect="00B13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5CDA7145" w14:textId="77777777" w:rsidR="006B5FF5" w:rsidRPr="005B3B33" w:rsidRDefault="007534B6" w:rsidP="00191A29">
      <w:pPr>
        <w:pStyle w:val="Heading2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விக்டோரியன்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சிறு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வணிக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உரிமையாளர்கள்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ஒரு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வணிகச்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சர்ச்சையை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எவ்வாறு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தீர்க்கலாம்</w:t>
      </w:r>
    </w:p>
    <w:p w14:paraId="43384A7E" w14:textId="77777777" w:rsidR="00C60A01" w:rsidRPr="005B3B33" w:rsidRDefault="007534B6" w:rsidP="00C60A01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சர்ச்சையைத்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தீர்த்துவைக்க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யார்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சிறு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உரிமையாளர்களுக்கு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உதவ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முடியும்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?</w:t>
      </w:r>
    </w:p>
    <w:p w14:paraId="618EA93A" w14:textId="77777777" w:rsidR="002172B9" w:rsidRPr="005B3B33" w:rsidRDefault="007534B6" w:rsidP="002172B9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தங்கள்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நில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உரிமையாளர்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விநியோகஸ்தர்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(supplier), </w:t>
      </w:r>
      <w:r w:rsidRPr="005B3B33">
        <w:rPr>
          <w:rFonts w:ascii="Nirmala UI" w:eastAsia="Latha" w:hAnsi="Nirmala UI" w:cs="Nirmala UI"/>
          <w:szCs w:val="21"/>
          <w:lang w:val="ta"/>
        </w:rPr>
        <w:t>உரிமம்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வழங்குபவர்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(franchisor) </w:t>
      </w:r>
      <w:r w:rsidRPr="005B3B33">
        <w:rPr>
          <w:rFonts w:ascii="Nirmala UI" w:eastAsia="Latha" w:hAnsi="Nirmala UI" w:cs="Nirmala UI"/>
          <w:szCs w:val="21"/>
          <w:lang w:val="ta"/>
        </w:rPr>
        <w:t>அல்லது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வாடிக்கையாளருடன்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விஷயம்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தொடர்பான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கருத்து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வேறுபாடு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எதிர்கொள்ளும்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சிறு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உரிமையாளர்கள்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அந்தத்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தீர்த்துவைப்பதற்கான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உதவியைப்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பெற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விக்டோரியன்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சிறு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ஆணையத்திடம்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(VSBC) </w:t>
      </w:r>
      <w:r w:rsidRPr="005B3B33">
        <w:rPr>
          <w:rFonts w:ascii="Nirmala UI" w:eastAsia="Latha" w:hAnsi="Nirmala UI" w:cs="Nirmala UI"/>
          <w:szCs w:val="21"/>
          <w:lang w:val="ta"/>
        </w:rPr>
        <w:t>விண்ணப்பிக்கலாம்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38FEEDAA" w14:textId="77777777" w:rsidR="000D5EC7" w:rsidRPr="005B3B33" w:rsidRDefault="007534B6" w:rsidP="006B5FF5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விக்டோரியன்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சிறு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ஆணையம்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(VSBC)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என்றால்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? </w:t>
      </w:r>
    </w:p>
    <w:p w14:paraId="26F05333" w14:textId="77777777" w:rsidR="00C66B82" w:rsidRPr="005B3B33" w:rsidRDefault="007534B6" w:rsidP="006B5FF5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 xml:space="preserve">VSBC </w:t>
      </w:r>
      <w:r w:rsidRPr="005B3B33">
        <w:rPr>
          <w:rFonts w:ascii="Nirmala UI" w:eastAsia="Latha" w:hAnsi="Nirmala UI" w:cs="Nirmala UI"/>
          <w:szCs w:val="21"/>
          <w:lang w:val="ta"/>
        </w:rPr>
        <w:t>என்பது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சுதந்திரமான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அரசாங்க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அமைப்பாகும்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இது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மாற்றுச்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(ADR) </w:t>
      </w:r>
      <w:r w:rsidRPr="005B3B33">
        <w:rPr>
          <w:rFonts w:ascii="Nirmala UI" w:eastAsia="Latha" w:hAnsi="Nirmala UI" w:cs="Nirmala UI"/>
          <w:szCs w:val="21"/>
          <w:lang w:val="ta"/>
        </w:rPr>
        <w:t>எனப்படும்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செயல்முறையின்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சிறு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வணிகங்களின்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சர்ச்சைகளைத்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தீர்க்க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உதவுகிறது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விக்டோரியன்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="006F7AD8" w:rsidRPr="005B3B33">
        <w:rPr>
          <w:rFonts w:ascii="Nirmala UI" w:eastAsia="Latha" w:hAnsi="Nirmala UI" w:cs="Nirmala UI"/>
          <w:i/>
          <w:iCs/>
          <w:szCs w:val="21"/>
          <w:lang w:val="ta"/>
        </w:rPr>
        <w:t>சிறு வணிக ஆணையச் சட்டம் 2017</w:t>
      </w:r>
      <w:r w:rsidRPr="005B3B33">
        <w:rPr>
          <w:rFonts w:ascii="Nirmala UI" w:eastAsia="Latha" w:hAnsi="Nirmala UI" w:cs="Nirmala UI"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(</w:t>
      </w:r>
      <w:r w:rsidRPr="005B3B33">
        <w:rPr>
          <w:rFonts w:ascii="Nirmala UI" w:eastAsia="Latha" w:hAnsi="Nirmala UI" w:cs="Nirmala UI"/>
          <w:szCs w:val="21"/>
          <w:lang w:val="ta"/>
        </w:rPr>
        <w:t>சட்டம்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செயல்படுத்தப்படுகிறது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6CB48718" w14:textId="77777777" w:rsidR="001E2BFC" w:rsidRPr="005B3B33" w:rsidRDefault="007534B6" w:rsidP="006B5FF5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மாற்றுச்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சர்ச்சைத்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(ADR)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என்றால்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?</w:t>
      </w:r>
    </w:p>
    <w:p w14:paraId="64AF8D11" w14:textId="77777777" w:rsidR="00FA3488" w:rsidRPr="005B3B33" w:rsidRDefault="007534B6" w:rsidP="006B5FF5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 xml:space="preserve">ADR </w:t>
      </w:r>
      <w:r w:rsidRPr="005B3B33">
        <w:rPr>
          <w:rFonts w:ascii="Nirmala UI" w:eastAsia="Latha" w:hAnsi="Nirmala UI" w:cs="Nirmala UI"/>
          <w:szCs w:val="21"/>
          <w:lang w:val="ta"/>
        </w:rPr>
        <w:t>என்பது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இதில்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சம்பந்தப்பட்ட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ஈடுபட்டுள்ள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நபர்கள்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அல்லது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நீதிமன்றத்திற்குச்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செல்லாமல்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பேச்சுவார்த்தை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மோதல்களைத்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தீர்த்துக்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கொள்ளும்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செயல்முறையாகும்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</w:p>
    <w:p w14:paraId="3DC3AE00" w14:textId="25F78F61" w:rsidR="00C550C5" w:rsidRPr="005B3B33" w:rsidRDefault="00D40649" w:rsidP="006B5FF5">
      <w:pPr>
        <w:rPr>
          <w:rFonts w:ascii="Nirmala UI" w:hAnsi="Nirmala UI" w:cs="Nirmala UI"/>
          <w:szCs w:val="21"/>
        </w:rPr>
      </w:pPr>
      <w:r>
        <w:rPr>
          <w:rFonts w:ascii="Nirmala UI" w:eastAsia="Latha" w:hAnsi="Nirmala UI" w:cs="Nirmala UI"/>
          <w:szCs w:val="21"/>
          <w:lang w:val="ta"/>
        </w:rPr>
        <w:br w:type="column"/>
      </w:r>
      <w:r w:rsidRPr="005B3B33">
        <w:rPr>
          <w:rFonts w:ascii="Nirmala UI" w:eastAsia="Latha" w:hAnsi="Nirmala UI" w:cs="Nirmala UI"/>
          <w:szCs w:val="21"/>
          <w:lang w:val="ta"/>
        </w:rPr>
        <w:t xml:space="preserve">ADR-ஐ மேற்கொள்வதற்குப் பல வழிகள் உள்ளன. VSBC முதன்மையாக மத்தியஸ்தம் எனப்படும் ஒரு வழிமுறையின் மூலம் ADR-ஐ வழங்குகிறது. </w:t>
      </w:r>
    </w:p>
    <w:p w14:paraId="16F71443" w14:textId="77777777" w:rsidR="00991FFC" w:rsidRPr="005B3B33" w:rsidRDefault="007534B6" w:rsidP="006B5FF5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மாற்றுத்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தகராறு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முறையின்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(ADR)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நன்மைகள்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?</w:t>
      </w:r>
    </w:p>
    <w:p w14:paraId="1FD11526" w14:textId="77777777" w:rsidR="00373737" w:rsidRPr="005B3B33" w:rsidRDefault="007534B6" w:rsidP="00CB25E6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நீதிமன்ற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முறையை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மாற்றுத்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தகராறு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முறை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விரைவானது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செலவு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குறைவானது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நீதிமன்ற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செயல்முறையைவிட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இரகசியமானதும்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குறைவான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முறைசார்ந்ததுமாகும்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ஒப்பிட்டுப்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பார்க்கையில்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மாற்றுத்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தகராறு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முறையை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குறைந்தளவு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அழுத்தம்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உடையதாகப்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பலர்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கருதுகின்றனர்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33251F3C" w14:textId="77777777" w:rsidR="00215B86" w:rsidRPr="005B3B33" w:rsidRDefault="007534B6" w:rsidP="00215B86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என்றால்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?</w:t>
      </w:r>
    </w:p>
    <w:p w14:paraId="322BFEC4" w14:textId="77777777" w:rsidR="001F66F5" w:rsidRPr="005B3B33" w:rsidRDefault="007534B6" w:rsidP="001D02C3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இணக்கம்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காணும்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நோக்கத்துடன்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ஈடுபட்டுள்ள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இடையே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மத்தியஸ்தரால்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வழிநடத்தப்படும்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சந்திப்பாகும்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என்பவர்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பேச்சுவார்த்தைகளுக்கு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சுதந்திரமான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பாரபட்சமற்ற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வசதி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செய்து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கொடுப்பவர்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ஆவார்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பொருள்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என்னவென்றால்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நடுநிலையானவர்கள்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என்பதாகும்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பரஸ்பரம்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ஏற்றுக்கொள்ளக்கூடிய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எட்டுவதற்காக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ஈடுபட்டுள்ள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தரப்பினரிடையே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உரையாடலை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ஊக்குவிப்பதே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பங்காகும்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 </w:t>
      </w:r>
    </w:p>
    <w:p w14:paraId="5CD960FF" w14:textId="77777777" w:rsidR="00093CF0" w:rsidRPr="005B3B33" w:rsidRDefault="007534B6" w:rsidP="001D02C3">
      <w:pPr>
        <w:spacing w:before="60" w:after="60"/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செய்வது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யார்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? </w:t>
      </w:r>
    </w:p>
    <w:p w14:paraId="1A6AEE88" w14:textId="77777777" w:rsidR="00073E32" w:rsidRPr="005B3B33" w:rsidRDefault="007534B6" w:rsidP="001D02C3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 xml:space="preserve">VSBC </w:t>
      </w:r>
      <w:r w:rsidRPr="005B3B33">
        <w:rPr>
          <w:rFonts w:ascii="Nirmala UI" w:eastAsia="Latha" w:hAnsi="Nirmala UI" w:cs="Nirmala UI"/>
          <w:szCs w:val="21"/>
          <w:lang w:val="ta"/>
        </w:rPr>
        <w:t>தனது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அனுபவம்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வாய்ந்த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அங்கீகாரம்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பெற்ற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நிபுணர்கள்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குழுவிலிருந்து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சுதந்திரமான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பாரபட்சமற்ற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மத்தியஸ்தரை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நியமிக்கிறது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A91D85" w:rsidRPr="005B3B33" w14:paraId="6F2900E3" w14:textId="77777777" w:rsidTr="00A91D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134D8D5C" w14:textId="77777777" w:rsidR="006B5FF5" w:rsidRPr="005B3B33" w:rsidRDefault="007534B6" w:rsidP="00D40649">
            <w:pPr>
              <w:spacing w:line="240" w:lineRule="auto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lastRenderedPageBreak/>
              <w:t>எந்த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வகையான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வணிகச்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சர்ச்சைகளைத்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தீர்க்க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VSBC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உதவ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முடியும்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? </w:t>
            </w:r>
          </w:p>
          <w:p w14:paraId="2134AD82" w14:textId="77777777" w:rsidR="00083AFC" w:rsidRPr="005B3B33" w:rsidRDefault="007534B6" w:rsidP="00D40649">
            <w:pPr>
              <w:widowControl w:val="0"/>
              <w:autoSpaceDE w:val="0"/>
              <w:autoSpaceDN w:val="0"/>
              <w:spacing w:line="240" w:lineRule="auto"/>
              <w:ind w:left="23"/>
              <w:rPr>
                <w:rFonts w:ascii="Nirmala UI" w:hAnsi="Nirmala UI" w:cs="Nirmala UI"/>
                <w:bCs/>
                <w:szCs w:val="21"/>
              </w:rPr>
            </w:pP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VSBC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விக்டோரியன்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சிறு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வணிகத்திற்கும்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மற்றொரு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அரசாங்க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நிறுவனத்திற்கும்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இடையிலான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வணிகச்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சர்ச்சைகளைத்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தீர்க்க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உதவ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முடியும்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. VSBC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உதவக்கூடிய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சர்ச்சைகளின்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எடுத்துக்காட்டுகள்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பின்வருமாறு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:</w:t>
            </w:r>
          </w:p>
          <w:p w14:paraId="7CF118B5" w14:textId="77777777" w:rsidR="0001046A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சில்லறை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வணிகக்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குத்தகைச்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வாடகைதாரர்களுக்கும்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நில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உரிமையாளர்களுக்கும்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இடையிலான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கருத்து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வேறுபாடுகள்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.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வாடகை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மறுஆய்வுகள்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பழுதுபார்ப்புகள்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"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சரிசெய்யப்பட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வேண்டிய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" ("make good")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ஏற்பாடுகள்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போன்றவை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எடுத்துக்காட்டுகளில்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அடங்கும்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484DD8B5" w14:textId="77777777" w:rsidR="00B80B0A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ஒப்பந்தக்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கருத்து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வேறுபாடுகள்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பொருட்களின்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தரம்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ஒப்பந்தத்தின்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விதிமுறைகள்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வழங்கப்படாத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சேவைகள்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தொடர்பான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6D7F6274" w14:textId="77777777" w:rsidR="004F209D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உரிமம்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வழங்குதல்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தொடர்பான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உரிமம்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வழங்குபவர்களுக்கும்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உரிமம்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பெறுபவர்களுக்கும்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இடையிலான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விஷயங்களில்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ஏற்படும்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கருத்து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வேறுபாடுகள்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. </w:t>
            </w:r>
          </w:p>
          <w:p w14:paraId="4AF10004" w14:textId="77777777" w:rsidR="00ED1515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போக்குவரத்து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வனவியல்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வனவியல்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ஒப்பந்தக்காரர்கள்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வாகனங்களின்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உரிமையாளர்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-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ஓட்டுநர்கள்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அவற்றை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வாடகைக்கு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எடுப்பவர்களுக்கு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இடையிலான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கருத்து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வேறுபாடுகள்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1A9A674E" w14:textId="77777777" w:rsidR="0001046A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செலுத்தப்படாத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விலைப்பட்டியல்கள்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கடன்கள்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வாடிக்கையாளர்களிடமிருந்து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பணத்தை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மீட்பதில்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விநியோகஸ்தர்களுடனான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செலுத்தும்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சிக்கல்களைத்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தீர்ப்பதில்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உதவி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3079EA9D" w14:textId="77777777" w:rsidR="0001046A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அரசு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சம்பந்தப்பட்ட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: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சிறு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ஒப்பந்த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விதிமுறைகள்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கொள்முதல்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செயல்முறை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போன்ற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விஷயங்களில்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அரசு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நிறுவனம்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அதிகார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அமைப்புடன்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வணிக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ரீதியான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கருத்து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வேறுபாட்டைக்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கொண்டிருத்தல்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502A4341" w14:textId="77777777" w:rsidR="00083AFC" w:rsidRPr="005B3B33" w:rsidRDefault="007534B6" w:rsidP="00D4064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தற்காலிகப்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பணியாளர்கள்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அவர்களின்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தளங்கள்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: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செலுத்துதல்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ஒப்பந்தச்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செயல்பாடு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தொடர்பான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விஷயங்களில்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டிஜிட்டல்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தளங்களுடன்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சர்ச்சை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கொண்டுள்ள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தற்சார்பான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தற்காலிகப்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பணியாளர்கள்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(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விநியோக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ஓட்டுநர்கள்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பயணப்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பகிர்வு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ஓட்டுநர்கள்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பராமரிப்புப்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பணியாளர்கள்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போன்றோர்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).</w:t>
            </w:r>
          </w:p>
          <w:p w14:paraId="0062F3A0" w14:textId="77777777" w:rsidR="00F83379" w:rsidRPr="005B3B33" w:rsidRDefault="007534B6" w:rsidP="00D40649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360"/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குறிப்பு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: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கணக்கு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செயலிழப்புச்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சர்ச்சைகள்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(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செயலியிலிருந்து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பணியாளர்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ஒருவர்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வெளியேற்றப்படும்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போது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) VSBC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அல்லாமல்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,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நியாய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வேலை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ஆணையத்திடம்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(Fair Work Commission)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பதிவு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செய்யப்பட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வேண்டும்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</w:tc>
      </w:tr>
    </w:tbl>
    <w:p w14:paraId="7F94303D" w14:textId="77777777" w:rsidR="00FA26D1" w:rsidRPr="005B3B33" w:rsidRDefault="007534B6" w:rsidP="00FA26D1">
      <w:pPr>
        <w:pStyle w:val="Heading2"/>
        <w:rPr>
          <w:rFonts w:ascii="Nirmala UI" w:hAnsi="Nirmala UI" w:cs="Nirmala UI"/>
          <w:b/>
          <w:bCs/>
          <w:caps/>
          <w:sz w:val="28"/>
          <w:szCs w:val="28"/>
        </w:rPr>
      </w:pP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VSBC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மாற்றுச்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சர்ச்சைத்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தீர்வு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செயல்முறை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</w:p>
    <w:p w14:paraId="730B9B07" w14:textId="4381940F" w:rsidR="00FA26D1" w:rsidRPr="005B3B33" w:rsidRDefault="00D40649" w:rsidP="00FA26D1">
      <w:pPr>
        <w:pStyle w:val="ListParagraph"/>
        <w:numPr>
          <w:ilvl w:val="0"/>
          <w:numId w:val="13"/>
        </w:numPr>
        <w:rPr>
          <w:rFonts w:ascii="Nirmala UI" w:hAnsi="Nirmala UI" w:cs="Nirmala UI"/>
          <w:b/>
          <w:bCs/>
          <w:szCs w:val="21"/>
        </w:rPr>
      </w:pPr>
      <w:hyperlink r:id="rId17" w:history="1">
        <w:r w:rsidRPr="00D40649">
          <w:rPr>
            <w:rStyle w:val="Hyperlink"/>
            <w:rFonts w:ascii="Nirmala UI" w:eastAsia="Latha" w:hAnsi="Nirmala UI" w:cs="Nirmala UI"/>
            <w:b/>
            <w:bCs/>
            <w:color w:val="auto"/>
            <w:szCs w:val="21"/>
            <w:u w:val="none"/>
            <w:lang w:val="ta"/>
          </w:rPr>
          <w:t>vsbc.vic.gov.au</w:t>
        </w:r>
      </w:hyperlink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என்ற இணையதளத்தில் உதவிக்கு விண்ணப்பிக்கவும்</w:t>
      </w:r>
    </w:p>
    <w:p w14:paraId="1F4759F3" w14:textId="77777777" w:rsidR="00753943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விண்ணப்பங்கள்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 </w:t>
      </w:r>
      <w:r w:rsidRPr="005B3B33">
        <w:rPr>
          <w:rFonts w:ascii="Nirmala UI" w:eastAsia="Latha" w:hAnsi="Nirmala UI" w:cs="Nirmala UI"/>
          <w:szCs w:val="21"/>
          <w:lang w:val="ta"/>
        </w:rPr>
        <w:t>இணையதளம்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வழியாகவே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செய்யப்பட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வேண்டும்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0F52833E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உங்கள்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தொடர்பு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விவரங்கள்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ஆஸ்திரேலிய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எண்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(ABN),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யாருடன்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ஈடுபட்டுள்ளீர்களோ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தொடர்பு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விவரங்களையும்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வழங்க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வேண்டும்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உங்கள்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விவரிக்கும்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ஆவணங்களையும்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lastRenderedPageBreak/>
        <w:t>அதற்கான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ஆதாரங்களையும்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வழங்க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வேண்டும்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6B818B55" w14:textId="77777777" w:rsidR="00FA26D1" w:rsidRPr="005B3B33" w:rsidRDefault="007534B6" w:rsidP="00FA26D1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8" w:lineRule="auto"/>
        <w:contextualSpacing/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ஆரம்பக்கட்ட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சர்ச்சைத்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உதவி</w:t>
      </w:r>
    </w:p>
    <w:p w14:paraId="63CB235A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அதிகாரி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(DRO) </w:t>
      </w:r>
      <w:r w:rsidRPr="005B3B33">
        <w:rPr>
          <w:rFonts w:ascii="Nirmala UI" w:eastAsia="Latha" w:hAnsi="Nirmala UI" w:cs="Nirmala UI"/>
          <w:szCs w:val="21"/>
          <w:lang w:val="ta"/>
        </w:rPr>
        <w:t>உங்கள்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கோப்பை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நிர்வகிப்பார்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மேலும்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இந்த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செயல்முறை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முழுவதும்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உங்களின்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முக்கிய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தொடர்பாளராக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இருப்பார்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03182E0F" w14:textId="77777777" w:rsidR="00FA26D1" w:rsidRPr="005B3B33" w:rsidRDefault="007534B6" w:rsidP="00D319D7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சர்ச்சை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தொடர்பான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விஷயத்தைப்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பற்றி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விவாதிக்க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உங்களுக்கும்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விண்ணப்பதாரர்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உங்களுடன்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நிறுவனத்திற்கும்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உதவுவதே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DRO-</w:t>
      </w:r>
      <w:r w:rsidRPr="005B3B33">
        <w:rPr>
          <w:rFonts w:ascii="Nirmala UI" w:eastAsia="Latha" w:hAnsi="Nirmala UI" w:cs="Nirmala UI"/>
          <w:szCs w:val="21"/>
          <w:lang w:val="ta"/>
        </w:rPr>
        <w:t>வின்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பணியாகும்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இந்த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செயல்முறை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அனைத்திலும்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DRO </w:t>
      </w:r>
      <w:r w:rsidRPr="005B3B33">
        <w:rPr>
          <w:rFonts w:ascii="Nirmala UI" w:eastAsia="Latha" w:hAnsi="Nirmala UI" w:cs="Nirmala UI"/>
          <w:szCs w:val="21"/>
          <w:lang w:val="ta"/>
        </w:rPr>
        <w:t>நடுநிலைமையாளராக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இருப்பார்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ஏற்றுக்கொள்ளக்கூடிய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வகையில்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சர்ச்சைக்கான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தீர்வுகளைக்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கருத்தில்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கொள்ள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ஊக்குவிப்பதே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பணியாகும்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51AB9A50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இந்தச்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சேவை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இலவசமானது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3F4BD6FE" w14:textId="77777777" w:rsidR="00FA26D1" w:rsidRPr="005B3B33" w:rsidRDefault="007534B6" w:rsidP="00FA26D1">
      <w:pPr>
        <w:ind w:left="23"/>
        <w:rPr>
          <w:rFonts w:ascii="Nirmala UI" w:hAnsi="Nirmala UI" w:cs="Nirmala UI"/>
          <w:i/>
          <w:iCs/>
          <w:szCs w:val="21"/>
        </w:rPr>
      </w:pP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2024-25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நிதியாண்டில்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இந்த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ஆரம்பகட்ட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உதவியின்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33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விழுக்காடு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சர்ச்சைகள்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தீர்க்கப்பட்டுள்ளன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.</w:t>
      </w:r>
    </w:p>
    <w:p w14:paraId="5B839647" w14:textId="77777777" w:rsidR="00FA26D1" w:rsidRPr="005B3B33" w:rsidRDefault="007534B6" w:rsidP="00FA26D1">
      <w:pPr>
        <w:numPr>
          <w:ilvl w:val="0"/>
          <w:numId w:val="13"/>
        </w:numPr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மத்தியஸ்தம்</w:t>
      </w:r>
    </w:p>
    <w:p w14:paraId="622910FC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ஆரம்பகட்ட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உதவியின்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போது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தீர்க்கப்படாவிட்டால்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சம்பந்தப்பட்ட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மத்தியஸ்தத்தில்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பங்கேற்க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DRO </w:t>
      </w:r>
      <w:r w:rsidRPr="005B3B33">
        <w:rPr>
          <w:rFonts w:ascii="Nirmala UI" w:eastAsia="Latha" w:hAnsi="Nirmala UI" w:cs="Nirmala UI"/>
          <w:szCs w:val="21"/>
          <w:lang w:val="ta"/>
        </w:rPr>
        <w:t>ஊக்குவிக்கலாம்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5C7D82AA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ஈடுபட்டுள்ள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சம்பந்தப்பட்ட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இடையேயான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ஓர்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இரகசியமான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சந்திப்பாகும்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VSBC-</w:t>
      </w:r>
      <w:r w:rsidRPr="005B3B33">
        <w:rPr>
          <w:rFonts w:ascii="Nirmala UI" w:eastAsia="Latha" w:hAnsi="Nirmala UI" w:cs="Nirmala UI"/>
          <w:szCs w:val="21"/>
          <w:lang w:val="ta"/>
        </w:rPr>
        <w:t>ஆல்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நியமிக்கப்பட்ட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அங்கீகாரம்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பெற்ற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மத்தியஸ்தரால்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வசதி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செய்து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கொடுக்கப்படும்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ஏற்றுக்கொள்ளக்கூடிய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தீர்வைப்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பேச்சுவார்த்தை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எட்டுவதற்கு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சம்பந்தப்பட்ட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வழிகாட்டுகிறார்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560A9BE8" w14:textId="5E489317" w:rsidR="008265A1" w:rsidRPr="005B3B33" w:rsidRDefault="00D40649" w:rsidP="008265A1">
      <w:pPr>
        <w:ind w:left="23"/>
        <w:rPr>
          <w:rFonts w:ascii="Nirmala UI" w:hAnsi="Nirmala UI" w:cs="Nirmala UI"/>
          <w:szCs w:val="21"/>
        </w:rPr>
      </w:pPr>
      <w:r>
        <w:rPr>
          <w:rFonts w:ascii="Nirmala UI" w:eastAsia="Latha" w:hAnsi="Nirmala UI" w:cs="Nirmala UI"/>
          <w:szCs w:val="21"/>
          <w:lang w:val="ta"/>
        </w:rPr>
        <w:br w:type="column"/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மத்தியஸ்தங்கள் காணொளி மூலமாக இணையவழியில் நடத்தப்படுகின்றன.</w:t>
      </w:r>
    </w:p>
    <w:p w14:paraId="700BFF8D" w14:textId="77777777" w:rsidR="00FA26D1" w:rsidRPr="005B3B33" w:rsidRDefault="007534B6" w:rsidP="00FA26D1">
      <w:pPr>
        <w:ind w:left="23"/>
        <w:rPr>
          <w:rFonts w:ascii="Nirmala UI" w:hAnsi="Nirmala UI" w:cs="Nirmala UI"/>
          <w:i/>
          <w:iCs/>
          <w:szCs w:val="21"/>
        </w:rPr>
      </w:pP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2024-25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நிதியாண்டில்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, VSBC-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ஆல்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வசதி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செய்து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கொடுக்கப்பட்ட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மத்தியஸ்தங்களில்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69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விழுக்காடு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வெற்றிகரமாக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அமைந்தன</w:t>
      </w:r>
      <w:r w:rsidRPr="005B3B33">
        <w:rPr>
          <w:rFonts w:ascii="Nirmala UI" w:eastAsia="Latha" w:hAnsi="Nirmala UI" w:cs="Nirmala UI"/>
          <w:i/>
          <w:iCs/>
          <w:szCs w:val="21"/>
          <w:lang w:val="ta"/>
        </w:rPr>
        <w:t>.</w:t>
      </w:r>
    </w:p>
    <w:p w14:paraId="1757B01F" w14:textId="77777777" w:rsidR="00FA26D1" w:rsidRPr="005B3B33" w:rsidRDefault="007534B6" w:rsidP="00FA26D1">
      <w:pPr>
        <w:numPr>
          <w:ilvl w:val="0"/>
          <w:numId w:val="13"/>
        </w:numPr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முடிவுக்கு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ஒப்புக்கொள்ளுதல்</w:t>
      </w:r>
    </w:p>
    <w:p w14:paraId="1A0C5E52" w14:textId="77777777" w:rsidR="00FA26D1" w:rsidRPr="005B3B33" w:rsidRDefault="007534B6" w:rsidP="00FA26D1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வெற்றிகரமாக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அமைந்தால்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இரு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தீர்வுக்கான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நிபந்தனைகளில்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கையெழுத்திடுவார்கள்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சட்டப்பூர்வ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ஆவணமாகும்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மேலும்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நீதிமன்றங்களால்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அமல்படுத்த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முடியும்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678B2716" w14:textId="77777777" w:rsidR="00FA26D1" w:rsidRPr="005B3B33" w:rsidRDefault="007534B6" w:rsidP="00FA26D1">
      <w:pPr>
        <w:numPr>
          <w:ilvl w:val="0"/>
          <w:numId w:val="13"/>
        </w:numPr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சான்றிதழுக்கு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noProof/>
          <w:szCs w:val="21"/>
          <w:lang w:val="ta"/>
        </w:rPr>
        <w:t>விண்ணப்பிக்கவும்</w:t>
      </w:r>
    </w:p>
    <w:p w14:paraId="606752C7" w14:textId="77777777" w:rsidR="00534FEF" w:rsidRPr="005B3B33" w:rsidRDefault="007534B6" w:rsidP="00534FEF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மத்தியஸ்தம்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தோல்வியுற்றால்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எந்தவொரு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VSBC-</w:t>
      </w:r>
      <w:r w:rsidRPr="005B3B33">
        <w:rPr>
          <w:rFonts w:ascii="Nirmala UI" w:eastAsia="Latha" w:hAnsi="Nirmala UI" w:cs="Nirmala UI"/>
          <w:szCs w:val="21"/>
          <w:lang w:val="ta"/>
        </w:rPr>
        <w:t>இடம்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இருந்து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சான்றிதழைக்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கோரலாம்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நீங்கள்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சர்ச்சையைத்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தீர்க்க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முயன்றீர்கள்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ஆனால்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முடியவில்லை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என்பதற்கு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அந்தச்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சான்றிதழை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ஆதாரமாகப்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பயன்படுத்தலாம்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</w:p>
    <w:p w14:paraId="76DF89AF" w14:textId="77777777" w:rsidR="00CD2FBA" w:rsidRPr="005B3B33" w:rsidRDefault="007534B6" w:rsidP="0019769D">
      <w:pPr>
        <w:pStyle w:val="Heading2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அடிக்கடி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கேட்கப்படும்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கேள்விகள்</w:t>
      </w:r>
    </w:p>
    <w:p w14:paraId="78B20644" w14:textId="77777777" w:rsidR="00822D83" w:rsidRPr="005B3B33" w:rsidRDefault="007534B6" w:rsidP="00E56CEF">
      <w:pPr>
        <w:rPr>
          <w:rFonts w:ascii="Nirmala UI" w:hAnsi="Nirmala UI" w:cs="Nirmala UI"/>
          <w:b/>
          <w:bCs/>
          <w:szCs w:val="21"/>
        </w:rPr>
      </w:pP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VSBC-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இன்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சர்ச்சைத்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தீர்வு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சேவைகளின்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கட்டணம்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என்ன</w:t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t>?</w:t>
      </w:r>
    </w:p>
    <w:p w14:paraId="60A75D1B" w14:textId="77777777" w:rsidR="00822D83" w:rsidRPr="005B3B33" w:rsidRDefault="007534B6" w:rsidP="00822D83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VSBC-</w:t>
      </w:r>
      <w:r w:rsidRPr="005B3B33">
        <w:rPr>
          <w:rFonts w:ascii="Nirmala UI" w:eastAsia="Latha" w:hAnsi="Nirmala UI" w:cs="Nirmala UI"/>
          <w:szCs w:val="21"/>
          <w:lang w:val="ta"/>
        </w:rPr>
        <w:t>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விக்டோரியன்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அரசாங்கம்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நிதியளிக்கிறது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மேலும்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ஆரம்பகட்ட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உதவி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இலவசமாக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வழங்கப்படுகிறது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0FABBF23" w14:textId="77777777" w:rsidR="00822D83" w:rsidRPr="005B3B33" w:rsidRDefault="007534B6" w:rsidP="00822D83">
      <w:pPr>
        <w:ind w:left="23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மே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2026-</w:t>
      </w:r>
      <w:r w:rsidRPr="005B3B33">
        <w:rPr>
          <w:rFonts w:ascii="Nirmala UI" w:eastAsia="Latha" w:hAnsi="Nirmala UI" w:cs="Nirmala UI"/>
          <w:szCs w:val="21"/>
          <w:lang w:val="ta"/>
        </w:rPr>
        <w:t>இல்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மத்தியஸ்தத்திற்காக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ஒவ்வொரு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செலுத்த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வேண்டிய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கட்டணம்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அரை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நாள்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அமர்வுக்கு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300 </w:t>
      </w:r>
      <w:r w:rsidRPr="005B3B33">
        <w:rPr>
          <w:rFonts w:ascii="Nirmala UI" w:eastAsia="Latha" w:hAnsi="Nirmala UI" w:cs="Nirmala UI"/>
          <w:szCs w:val="21"/>
          <w:lang w:val="ta"/>
        </w:rPr>
        <w:t>டாலர்கள்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ஜிஎஸ்டி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உட்பட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), </w:t>
      </w:r>
      <w:r w:rsidRPr="005B3B33">
        <w:rPr>
          <w:rFonts w:ascii="Nirmala UI" w:eastAsia="Latha" w:hAnsi="Nirmala UI" w:cs="Nirmala UI"/>
          <w:szCs w:val="21"/>
          <w:lang w:val="ta"/>
        </w:rPr>
        <w:t>மற்றும்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முழு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நாள்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அமர்வுக்கு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600 </w:t>
      </w:r>
      <w:r w:rsidRPr="005B3B33">
        <w:rPr>
          <w:rFonts w:ascii="Nirmala UI" w:eastAsia="Latha" w:hAnsi="Nirmala UI" w:cs="Nirmala UI"/>
          <w:szCs w:val="21"/>
          <w:lang w:val="ta"/>
        </w:rPr>
        <w:t>டாலர்கள்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ஜிஎஸ்டி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உட்பட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ஆகும்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இவை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மாற்றத்திற்கு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உட்பட்டவை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4AD04B86" w14:textId="127B4C7D" w:rsidR="00215B86" w:rsidRPr="005B3B33" w:rsidRDefault="00D40649" w:rsidP="00215B86">
      <w:pPr>
        <w:rPr>
          <w:rFonts w:ascii="Nirmala UI" w:hAnsi="Nirmala UI" w:cs="Nirmala UI"/>
          <w:b/>
          <w:bCs/>
          <w:szCs w:val="21"/>
        </w:rPr>
      </w:pPr>
      <w:r>
        <w:rPr>
          <w:rFonts w:ascii="Nirmala UI" w:eastAsia="Latha" w:hAnsi="Nirmala UI" w:cs="Nirmala UI"/>
          <w:b/>
          <w:bCs/>
          <w:szCs w:val="21"/>
          <w:lang w:val="ta"/>
        </w:rPr>
        <w:br w:type="column"/>
      </w:r>
      <w:r w:rsidRPr="005B3B33">
        <w:rPr>
          <w:rFonts w:ascii="Nirmala UI" w:eastAsia="Latha" w:hAnsi="Nirmala UI" w:cs="Nirmala UI"/>
          <w:b/>
          <w:bCs/>
          <w:szCs w:val="21"/>
          <w:lang w:val="ta"/>
        </w:rPr>
        <w:lastRenderedPageBreak/>
        <w:t>மத்தியஸ்தத்தின் மூலம் ஒப்புக்கொள்ளப்பட்ட முடிவு கட்டுப்படுத்தும் தன்மை கொண்டதா?</w:t>
      </w:r>
    </w:p>
    <w:p w14:paraId="33EE3B28" w14:textId="77777777" w:rsidR="00215B86" w:rsidRPr="005B3B33" w:rsidRDefault="007534B6" w:rsidP="00C113E1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தீர்வுக்கான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நிபந்தனைகள்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ஒப்புக்கொள்ளப்பட்டு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கையொப்பமிடப்பட்டு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தேதியிடப்பட்டவுடன்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பிரச்சினை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தீர்க்கப்பட்டு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அந்த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ஒப்பந்தம்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கட்டுப்படுத்தக்கூடியதாகிறது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நிபந்தனைகளுக்குக்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கட்டுப்படத்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தவறினால்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தீர்வுக்கான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நிபந்தனைகளை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அமல்படுத்துவதற்காக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அவர்கள்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மீது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நீதிமன்றத்தில்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வழக்குத்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தொடரலாம்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A91D85" w:rsidRPr="005B3B33" w14:paraId="0863561C" w14:textId="77777777" w:rsidTr="00A91D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tcW w:w="4701" w:type="dxa"/>
          </w:tcPr>
          <w:p w14:paraId="55604173" w14:textId="77777777" w:rsidR="00732F31" w:rsidRPr="005B3B33" w:rsidRDefault="007534B6" w:rsidP="003D2E5A">
            <w:pPr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VSBC-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ஐத்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தொடர்பு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 w:val="24"/>
                <w:szCs w:val="24"/>
                <w:lang w:val="ta"/>
              </w:rPr>
              <w:t>கொள்ளவும்</w:t>
            </w:r>
          </w:p>
          <w:p w14:paraId="68BBC366" w14:textId="32BBEB16" w:rsidR="00732F31" w:rsidRPr="005B3B33" w:rsidRDefault="007534B6" w:rsidP="003D2E5A">
            <w:pPr>
              <w:pStyle w:val="ListParagraph"/>
              <w:numPr>
                <w:ilvl w:val="0"/>
                <w:numId w:val="6"/>
              </w:numPr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தகவல்களைப்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பெறவும்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மற்றும்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விண்ணப்பிக்கவும்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hyperlink r:id="rId18" w:history="1">
              <w:r w:rsidR="00732F31" w:rsidRPr="00D40649">
                <w:rPr>
                  <w:rStyle w:val="Hyperlink"/>
                  <w:rFonts w:ascii="Nirmala UI" w:eastAsia="Latha" w:hAnsi="Nirmala UI" w:cs="Nirmala UI"/>
                  <w:bCs/>
                  <w:szCs w:val="21"/>
                  <w:u w:val="none"/>
                  <w:lang w:val="ta"/>
                </w:rPr>
                <w:t>vsbc.vic.gov.au</w:t>
              </w:r>
            </w:hyperlink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என்ற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இணையதளத்துக்குச்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செல்லவும்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06440C1B" w14:textId="77777777" w:rsidR="00732F31" w:rsidRPr="005B3B33" w:rsidRDefault="007534B6" w:rsidP="003D2E5A">
            <w:pPr>
              <w:pStyle w:val="ListParagraph"/>
              <w:numPr>
                <w:ilvl w:val="0"/>
                <w:numId w:val="6"/>
              </w:numPr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VSBC-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யுடன்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ஆங்கிலத்தில்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பேச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1800 878 964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என்ற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எண்ணை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அழைக்கவும்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.</w:t>
            </w:r>
          </w:p>
          <w:p w14:paraId="7B91186F" w14:textId="77777777" w:rsidR="00732F31" w:rsidRPr="005B3B33" w:rsidRDefault="007534B6" w:rsidP="003D2E5A">
            <w:pPr>
              <w:pStyle w:val="ListParagraph"/>
              <w:numPr>
                <w:ilvl w:val="0"/>
                <w:numId w:val="6"/>
              </w:numPr>
              <w:rPr>
                <w:rFonts w:ascii="Nirmala UI" w:hAnsi="Nirmala UI" w:cs="Nirmala UI"/>
                <w:bCs/>
                <w:szCs w:val="21"/>
                <w:lang w:val="en-AU"/>
              </w:rPr>
            </w:pP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ஒரு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மொழிபெயர்ப்பாளரை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அணுகி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, VSBC-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உடன்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பேச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உதவுமாறு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கோர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Cs/>
                <w:szCs w:val="21"/>
                <w:lang w:val="ta"/>
              </w:rPr>
              <w:t>131 450</w:t>
            </w:r>
            <w:r w:rsidRPr="005B3B33">
              <w:rPr>
                <w:rFonts w:ascii="Nirmala UI" w:eastAsia="Latha" w:hAnsi="Nirmala UI" w:cs="Nirmala UI"/>
                <w:b w:val="0"/>
                <w:bCs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என்ற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எண்ணை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 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>அழைக்கவும்</w:t>
            </w:r>
            <w:r w:rsidRPr="005B3B33">
              <w:rPr>
                <w:rFonts w:ascii="Nirmala UI" w:eastAsia="Latha" w:hAnsi="Nirmala UI" w:cs="Nirmala UI"/>
                <w:b w:val="0"/>
                <w:szCs w:val="21"/>
                <w:lang w:val="ta"/>
              </w:rPr>
              <w:t xml:space="preserve">. </w:t>
            </w:r>
          </w:p>
        </w:tc>
      </w:tr>
    </w:tbl>
    <w:p w14:paraId="65EB2658" w14:textId="77777777" w:rsidR="0045724D" w:rsidRPr="005B3B33" w:rsidRDefault="007534B6" w:rsidP="0045724D">
      <w:pPr>
        <w:pStyle w:val="Heading2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VSBC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எதைச்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 xml:space="preserve"> 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செய்வதில்லை</w:t>
      </w:r>
      <w:r w:rsidRPr="005B3B33">
        <w:rPr>
          <w:rFonts w:ascii="Nirmala UI" w:eastAsia="Latha" w:hAnsi="Nirmala UI" w:cs="Nirmala UI"/>
          <w:b/>
          <w:bCs/>
          <w:caps/>
          <w:sz w:val="28"/>
          <w:szCs w:val="28"/>
          <w:lang w:val="ta"/>
        </w:rPr>
        <w:t>?</w:t>
      </w:r>
    </w:p>
    <w:p w14:paraId="092AE453" w14:textId="77777777" w:rsidR="007E337E" w:rsidRPr="005B3B33" w:rsidRDefault="007534B6" w:rsidP="00D9135E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 xml:space="preserve">VSBC </w:t>
      </w:r>
      <w:r w:rsidRPr="005B3B33">
        <w:rPr>
          <w:rFonts w:ascii="Nirmala UI" w:eastAsia="Latha" w:hAnsi="Nirmala UI" w:cs="Nirmala UI"/>
          <w:szCs w:val="21"/>
          <w:lang w:val="ta"/>
        </w:rPr>
        <w:t>சட்ட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நிதி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அல்லது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வணிக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ஆலோசனைகளை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வழங்காது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வழங்கவும்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முடியாது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4D85FC46" w14:textId="2C500E74" w:rsidR="00A46150" w:rsidRPr="005B3B33" w:rsidRDefault="007534B6" w:rsidP="00A46150">
      <w:pPr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சட்ட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ஆலோசனையை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வழக்கறிஞரிடம்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பெற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வேண்டும்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விக்டோரியாவின்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நிறுவனம்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(Law Institute of Victoria)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இலவச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பரிந்துரை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சேவையைக்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கொண்டுள்ளது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இதை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hyperlink r:id="rId19" w:history="1">
        <w:r w:rsidR="00B47C4B" w:rsidRPr="00D40649">
          <w:rPr>
            <w:rStyle w:val="Hyperlink"/>
            <w:rFonts w:ascii="Nirmala UI" w:eastAsia="Latha" w:hAnsi="Nirmala UI" w:cs="Nirmala UI"/>
            <w:b/>
            <w:bCs/>
            <w:color w:val="auto"/>
            <w:szCs w:val="21"/>
            <w:u w:val="none"/>
            <w:lang w:val="ta"/>
          </w:rPr>
          <w:t>liv.asn.au/referral</w:t>
        </w:r>
      </w:hyperlink>
      <w:r w:rsidRPr="005B3B33">
        <w:rPr>
          <w:rFonts w:ascii="Nirmala UI" w:eastAsia="Latha" w:hAnsi="Nirmala UI" w:cs="Nirmala UI"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இணையதளத்தில்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அணுகலாம்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282BE525" w14:textId="68E54EDB" w:rsidR="00B47C4B" w:rsidRPr="005B3B33" w:rsidRDefault="00D40649" w:rsidP="00A46150">
      <w:pPr>
        <w:rPr>
          <w:rFonts w:ascii="Nirmala UI" w:hAnsi="Nirmala UI" w:cs="Nirmala UI"/>
          <w:szCs w:val="21"/>
        </w:rPr>
      </w:pPr>
      <w:r>
        <w:rPr>
          <w:rFonts w:ascii="Nirmala UI" w:eastAsia="Latha" w:hAnsi="Nirmala UI" w:cs="Nirmala UI"/>
          <w:szCs w:val="21"/>
          <w:lang w:val="ta"/>
        </w:rPr>
        <w:br w:type="column"/>
      </w:r>
      <w:r w:rsidRPr="005B3B33">
        <w:rPr>
          <w:rFonts w:ascii="Nirmala UI" w:eastAsia="Latha" w:hAnsi="Nirmala UI" w:cs="Nirmala UI"/>
          <w:szCs w:val="21"/>
          <w:lang w:val="ta"/>
        </w:rPr>
        <w:t>வணிக வழிகாட்டுதல் மற்றும் அது தொடர்பான தகவல்களை </w:t>
      </w:r>
      <w:hyperlink r:id="rId20" w:history="1">
        <w:r w:rsidRPr="00D40649">
          <w:rPr>
            <w:rStyle w:val="Hyperlink"/>
            <w:rFonts w:ascii="Nirmala UI" w:eastAsia="Latha" w:hAnsi="Nirmala UI" w:cs="Nirmala UI"/>
            <w:b/>
            <w:bCs/>
            <w:color w:val="auto"/>
            <w:szCs w:val="21"/>
            <w:u w:val="none"/>
            <w:lang w:val="ta"/>
          </w:rPr>
          <w:t>business.vic.gov.au</w:t>
        </w:r>
      </w:hyperlink>
      <w:r w:rsidRPr="005B3B33">
        <w:rPr>
          <w:rFonts w:ascii="Nirmala UI" w:eastAsia="Latha" w:hAnsi="Nirmala UI" w:cs="Nirmala UI"/>
          <w:bCs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என்ற இணையதளத்துக்குச் சென்று பார்ப்பதன் மூலமோ அல்லது 13 22 15 என்ற எண்ணை அழைப்பதன் மூலமோ அணுகலாம்.</w:t>
      </w:r>
    </w:p>
    <w:p w14:paraId="37027C82" w14:textId="77777777" w:rsidR="00382127" w:rsidRPr="005B3B33" w:rsidRDefault="007534B6" w:rsidP="008921BB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சர்ச்சையில்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 </w:t>
      </w:r>
      <w:r w:rsidRPr="005B3B33">
        <w:rPr>
          <w:rFonts w:ascii="Nirmala UI" w:eastAsia="Latha" w:hAnsi="Nirmala UI" w:cs="Nirmala UI"/>
          <w:szCs w:val="21"/>
          <w:lang w:val="ta"/>
        </w:rPr>
        <w:t>எந்தவொரு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நிலைப்பாட்டையும்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எடுப்பதில்லை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அது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நடுநிலையானது</w:t>
      </w:r>
      <w:r w:rsidRPr="005B3B33">
        <w:rPr>
          <w:rFonts w:ascii="Nirmala UI" w:eastAsia="Latha" w:hAnsi="Nirmala UI" w:cs="Nirmala UI"/>
          <w:szCs w:val="21"/>
          <w:lang w:val="ta"/>
        </w:rPr>
        <w:t>).</w:t>
      </w:r>
    </w:p>
    <w:p w14:paraId="756F4650" w14:textId="77777777" w:rsidR="00385055" w:rsidRPr="005B3B33" w:rsidRDefault="007534B6" w:rsidP="00B47C4B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சர்ச்சைகள்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மீது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தீர்ப்புகளையோ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அல்லது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முடிவுகளையோ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 </w:t>
      </w:r>
      <w:r w:rsidRPr="005B3B33">
        <w:rPr>
          <w:rFonts w:ascii="Nirmala UI" w:eastAsia="Latha" w:hAnsi="Nirmala UI" w:cs="Nirmala UI"/>
          <w:szCs w:val="21"/>
          <w:lang w:val="ta"/>
        </w:rPr>
        <w:t>எடுப்பதில்லை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அதற்குப்பதிலாக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, </w:t>
      </w:r>
      <w:r w:rsidRPr="005B3B33">
        <w:rPr>
          <w:rFonts w:ascii="Nirmala UI" w:eastAsia="Latha" w:hAnsi="Nirmala UI" w:cs="Nirmala UI"/>
          <w:szCs w:val="21"/>
          <w:lang w:val="ta"/>
        </w:rPr>
        <w:t>சம்பந்தப்பட்ட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தரப்பினர்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அனைவரும்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ஏற்றுக்கொள்ளக்கூடிய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ஒரு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தீர்வை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பேச்சுவார்த்தை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மூலம்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எட்டுவதற்கு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வழிகாட்டுகிறது</w:t>
      </w:r>
      <w:r w:rsidRPr="005B3B33">
        <w:rPr>
          <w:rFonts w:ascii="Nirmala UI" w:eastAsia="Latha" w:hAnsi="Nirmala UI" w:cs="Nirmala UI"/>
          <w:szCs w:val="21"/>
          <w:lang w:val="ta"/>
        </w:rPr>
        <w:t>.</w:t>
      </w:r>
    </w:p>
    <w:p w14:paraId="48E96904" w14:textId="77777777" w:rsidR="00826C6B" w:rsidRPr="005B3B33" w:rsidRDefault="007534B6" w:rsidP="00C11ED5">
      <w:pPr>
        <w:spacing w:before="60" w:after="60"/>
        <w:rPr>
          <w:rFonts w:ascii="Nirmala UI" w:hAnsi="Nirmala UI" w:cs="Nirmala UI"/>
          <w:szCs w:val="21"/>
        </w:rPr>
      </w:pPr>
      <w:r w:rsidRPr="005B3B33">
        <w:rPr>
          <w:rFonts w:ascii="Nirmala UI" w:eastAsia="Latha" w:hAnsi="Nirmala UI" w:cs="Nirmala UI"/>
          <w:szCs w:val="21"/>
          <w:lang w:val="ta"/>
        </w:rPr>
        <w:t>நுகர்வோர்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</w:t>
      </w:r>
      <w:r w:rsidRPr="005B3B33">
        <w:rPr>
          <w:rFonts w:ascii="Nirmala UI" w:eastAsia="Latha" w:hAnsi="Nirmala UI" w:cs="Nirmala UI"/>
          <w:szCs w:val="21"/>
          <w:lang w:val="ta"/>
        </w:rPr>
        <w:t>தனிநபர்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) </w:t>
      </w:r>
      <w:r w:rsidRPr="005B3B33">
        <w:rPr>
          <w:rFonts w:ascii="Nirmala UI" w:eastAsia="Latha" w:hAnsi="Nirmala UI" w:cs="Nirmala UI"/>
          <w:szCs w:val="21"/>
          <w:lang w:val="ta"/>
        </w:rPr>
        <w:t>பற்றிய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புகார்கள்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அல்லது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சர்ச்சைகளுக்கு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VSBC </w:t>
      </w:r>
      <w:r w:rsidRPr="005B3B33">
        <w:rPr>
          <w:rFonts w:ascii="Nirmala UI" w:eastAsia="Latha" w:hAnsi="Nirmala UI" w:cs="Nirmala UI"/>
          <w:szCs w:val="21"/>
          <w:lang w:val="ta"/>
        </w:rPr>
        <w:t>உதவுவதில்லை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  <w:r w:rsidRPr="005B3B33">
        <w:rPr>
          <w:rFonts w:ascii="Nirmala UI" w:eastAsia="Latha" w:hAnsi="Nirmala UI" w:cs="Nirmala UI"/>
          <w:szCs w:val="21"/>
          <w:lang w:val="ta"/>
        </w:rPr>
        <w:t>இதுபோன்ற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விஷயங்கள்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விக்டோரியா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நுகர்வோர்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விவகாரங்கள்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(Consumer Affairs Victoria) </w:t>
      </w:r>
      <w:r w:rsidRPr="005B3B33">
        <w:rPr>
          <w:rFonts w:ascii="Nirmala UI" w:eastAsia="Latha" w:hAnsi="Nirmala UI" w:cs="Nirmala UI"/>
          <w:szCs w:val="21"/>
          <w:lang w:val="ta"/>
        </w:rPr>
        <w:t>என்ற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அமைப்பின்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கீழ்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 </w:t>
      </w:r>
      <w:r w:rsidRPr="005B3B33">
        <w:rPr>
          <w:rFonts w:ascii="Nirmala UI" w:eastAsia="Latha" w:hAnsi="Nirmala UI" w:cs="Nirmala UI"/>
          <w:szCs w:val="21"/>
          <w:lang w:val="ta"/>
        </w:rPr>
        <w:t>வருகின்றன</w:t>
      </w:r>
      <w:r w:rsidRPr="005B3B33">
        <w:rPr>
          <w:rFonts w:ascii="Nirmala UI" w:eastAsia="Latha" w:hAnsi="Nirmala UI" w:cs="Nirmala UI"/>
          <w:szCs w:val="21"/>
          <w:lang w:val="ta"/>
        </w:rPr>
        <w:t xml:space="preserve">. </w:t>
      </w:r>
    </w:p>
    <w:sectPr w:rsidR="00826C6B" w:rsidRPr="005B3B33" w:rsidSect="00B134E2">
      <w:type w:val="continuous"/>
      <w:pgSz w:w="11910" w:h="16840"/>
      <w:pgMar w:top="1661" w:right="737" w:bottom="1361" w:left="737" w:header="624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CA84" w14:textId="77777777" w:rsidR="007534B6" w:rsidRDefault="007534B6" w:rsidP="00C030FD">
      <w:pPr>
        <w:spacing w:before="0" w:after="0" w:line="240" w:lineRule="auto"/>
      </w:pPr>
      <w:r>
        <w:separator/>
      </w:r>
    </w:p>
  </w:endnote>
  <w:endnote w:type="continuationSeparator" w:id="0">
    <w:p w14:paraId="0C65820F" w14:textId="77777777" w:rsidR="007534B6" w:rsidRDefault="007534B6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E2AA" w14:textId="77777777" w:rsidR="006B6834" w:rsidRDefault="006B6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7C66" w14:textId="77777777" w:rsidR="006B5ACF" w:rsidRPr="005B3B33" w:rsidRDefault="007534B6" w:rsidP="009E2F84">
    <w:pPr>
      <w:pStyle w:val="Footer"/>
      <w:rPr>
        <w:rFonts w:ascii="Nirmala UI" w:hAnsi="Nirmala UI" w:cs="Nirmala UI"/>
        <w:szCs w:val="16"/>
      </w:rPr>
    </w:pPr>
    <w:r w:rsidRPr="005B3B33">
      <w:rPr>
        <w:rFonts w:ascii="Nirmala UI" w:eastAsia="Latha" w:hAnsi="Nirmala UI" w:cs="Nirmala UI"/>
        <w:szCs w:val="16"/>
        <w:vertAlign w:val="superscript"/>
        <w:lang w:val="ta"/>
      </w:rPr>
      <w:t>©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விக்டோரியன்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சிறு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வணிக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ஆணையம்</w:t>
    </w:r>
    <w:r w:rsidRPr="005B3B33">
      <w:rPr>
        <w:rFonts w:ascii="Nirmala UI" w:eastAsia="Latha" w:hAnsi="Nirmala UI" w:cs="Nirmala UI"/>
        <w:szCs w:val="16"/>
        <w:lang w:val="ta"/>
      </w:rPr>
      <w:t xml:space="preserve">. </w:t>
    </w:r>
    <w:r w:rsidRPr="005B3B33">
      <w:rPr>
        <w:rFonts w:ascii="Nirmala UI" w:eastAsia="Latha" w:hAnsi="Nirmala UI" w:cs="Nirmala UI"/>
        <w:szCs w:val="16"/>
        <w:lang w:val="ta"/>
      </w:rPr>
      <w:t>இந்தக்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கையேட்டில்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உள்ளவை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மே</w:t>
    </w:r>
    <w:r w:rsidRPr="005B3B33">
      <w:rPr>
        <w:rFonts w:ascii="Nirmala UI" w:eastAsia="Latha" w:hAnsi="Nirmala UI" w:cs="Nirmala UI"/>
        <w:szCs w:val="16"/>
        <w:lang w:val="ta"/>
      </w:rPr>
      <w:t xml:space="preserve"> 2026 </w:t>
    </w:r>
    <w:r w:rsidRPr="005B3B33">
      <w:rPr>
        <w:rFonts w:ascii="Nirmala UI" w:eastAsia="Latha" w:hAnsi="Nirmala UI" w:cs="Nirmala UI"/>
        <w:szCs w:val="16"/>
        <w:lang w:val="ta"/>
      </w:rPr>
      <w:t>நிலவரப்படி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தற்போதைய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தகவல்களாகும்</w:t>
    </w:r>
    <w:r w:rsidRPr="005B3B33">
      <w:rPr>
        <w:rFonts w:ascii="Nirmala UI" w:eastAsia="Latha" w:hAnsi="Nirmala UI" w:cs="Nirmala UI"/>
        <w:szCs w:val="16"/>
        <w:lang w:val="ta"/>
      </w:rPr>
      <w:t>.</w:t>
    </w:r>
    <w:r w:rsidRPr="005B3B33">
      <w:rPr>
        <w:rFonts w:ascii="Nirmala UI" w:hAnsi="Nirmala UI" w:cs="Nirmala UI"/>
        <w:szCs w:val="16"/>
      </w:rPr>
      <w:ptab w:relativeTo="margin" w:alignment="right" w:leader="none"/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sdt>
      <w:sdtPr>
        <w:rPr>
          <w:rFonts w:ascii="Nirmala UI" w:eastAsia="Latha" w:hAnsi="Nirmala UI" w:cs="Nirmala UI"/>
          <w:szCs w:val="16"/>
          <w:lang w:val="ta"/>
        </w:rPr>
        <w:id w:val="11030304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5B3B33">
          <w:rPr>
            <w:rFonts w:ascii="Nirmala UI" w:hAnsi="Nirmala UI" w:cs="Nirmala UI"/>
            <w:szCs w:val="16"/>
          </w:rPr>
          <w:fldChar w:fldCharType="begin"/>
        </w:r>
        <w:r w:rsidR="009E2F84" w:rsidRPr="005B3B33">
          <w:rPr>
            <w:rFonts w:ascii="Nirmala UI" w:eastAsia="Latha" w:hAnsi="Nirmala UI" w:cs="Nirmala UI"/>
            <w:szCs w:val="16"/>
            <w:lang w:val="ta"/>
          </w:rPr>
          <w:instrText xml:space="preserve"> PAGE   \* MERGEFORMAT </w:instrText>
        </w:r>
        <w:r w:rsidR="009E2F84" w:rsidRPr="005B3B33">
          <w:rPr>
            <w:rFonts w:ascii="Nirmala UI" w:hAnsi="Nirmala UI" w:cs="Nirmala UI"/>
            <w:szCs w:val="16"/>
          </w:rPr>
          <w:fldChar w:fldCharType="separate"/>
        </w:r>
        <w:r w:rsidR="009E2F84" w:rsidRPr="005B3B33">
          <w:rPr>
            <w:rFonts w:ascii="Nirmala UI" w:eastAsia="Latha" w:hAnsi="Nirmala UI" w:cs="Nirmala UI"/>
            <w:szCs w:val="16"/>
            <w:lang w:val="ta"/>
          </w:rPr>
          <w:t>6</w:t>
        </w:r>
        <w:r w:rsidR="009E2F84" w:rsidRPr="005B3B33">
          <w:rPr>
            <w:rFonts w:ascii="Nirmala UI" w:hAnsi="Nirmala UI" w:cs="Nirmala UI"/>
            <w:noProof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B516" w14:textId="77777777" w:rsidR="00C030FD" w:rsidRPr="005B3B33" w:rsidRDefault="007534B6" w:rsidP="006B5ACF">
    <w:pPr>
      <w:pStyle w:val="Footer"/>
      <w:rPr>
        <w:rFonts w:ascii="Nirmala UI" w:hAnsi="Nirmala UI" w:cs="Nirmala UI"/>
        <w:szCs w:val="16"/>
      </w:rPr>
    </w:pPr>
    <w:r w:rsidRPr="005B3B33">
      <w:rPr>
        <w:rFonts w:ascii="Nirmala UI" w:eastAsia="Latha" w:hAnsi="Nirmala UI" w:cs="Nirmala UI"/>
        <w:szCs w:val="16"/>
        <w:vertAlign w:val="superscript"/>
        <w:lang w:val="ta"/>
      </w:rPr>
      <w:t>©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விக்டோரியன்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சிறு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வணிக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ஆணையம்</w:t>
    </w:r>
    <w:r w:rsidRPr="005B3B33">
      <w:rPr>
        <w:rFonts w:ascii="Nirmala UI" w:eastAsia="Latha" w:hAnsi="Nirmala UI" w:cs="Nirmala UI"/>
        <w:szCs w:val="16"/>
        <w:lang w:val="ta"/>
      </w:rPr>
      <w:t xml:space="preserve">. </w:t>
    </w:r>
    <w:r w:rsidRPr="005B3B33">
      <w:rPr>
        <w:rFonts w:ascii="Nirmala UI" w:eastAsia="Latha" w:hAnsi="Nirmala UI" w:cs="Nirmala UI"/>
        <w:szCs w:val="16"/>
        <w:lang w:val="ta"/>
      </w:rPr>
      <w:t>இந்தக்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கையேட்டில்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உள்ளவை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மே</w:t>
    </w:r>
    <w:r w:rsidRPr="005B3B33">
      <w:rPr>
        <w:rFonts w:ascii="Nirmala UI" w:eastAsia="Latha" w:hAnsi="Nirmala UI" w:cs="Nirmala UI"/>
        <w:szCs w:val="16"/>
        <w:lang w:val="ta"/>
      </w:rPr>
      <w:t xml:space="preserve"> 2026 </w:t>
    </w:r>
    <w:r w:rsidRPr="005B3B33">
      <w:rPr>
        <w:rFonts w:ascii="Nirmala UI" w:eastAsia="Latha" w:hAnsi="Nirmala UI" w:cs="Nirmala UI"/>
        <w:szCs w:val="16"/>
        <w:lang w:val="ta"/>
      </w:rPr>
      <w:t>நிலவரப்படி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தற்போதைய</w:t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r w:rsidRPr="005B3B33">
      <w:rPr>
        <w:rFonts w:ascii="Nirmala UI" w:eastAsia="Latha" w:hAnsi="Nirmala UI" w:cs="Nirmala UI"/>
        <w:szCs w:val="16"/>
        <w:lang w:val="ta"/>
      </w:rPr>
      <w:t>தகவல்களாகும்</w:t>
    </w:r>
    <w:r w:rsidRPr="005B3B33">
      <w:rPr>
        <w:rFonts w:ascii="Nirmala UI" w:eastAsia="Latha" w:hAnsi="Nirmala UI" w:cs="Nirmala UI"/>
        <w:szCs w:val="16"/>
        <w:lang w:val="ta"/>
      </w:rPr>
      <w:t>.</w:t>
    </w:r>
    <w:r w:rsidRPr="005B3B33">
      <w:rPr>
        <w:rFonts w:ascii="Nirmala UI" w:eastAsia="Latha" w:hAnsi="Nirmala UI" w:cs="Nirmala UI"/>
        <w:szCs w:val="16"/>
        <w:lang w:val="ta"/>
      </w:rPr>
      <w:tab/>
    </w:r>
    <w:r w:rsidRPr="005B3B33">
      <w:rPr>
        <w:rFonts w:ascii="Nirmala UI" w:hAnsi="Nirmala UI" w:cs="Nirmala UI"/>
        <w:szCs w:val="16"/>
      </w:rPr>
      <w:ptab w:relativeTo="margin" w:alignment="right" w:leader="none"/>
    </w:r>
    <w:r w:rsidRPr="005B3B33">
      <w:rPr>
        <w:rFonts w:ascii="Nirmala UI" w:eastAsia="Latha" w:hAnsi="Nirmala UI" w:cs="Nirmala UI"/>
        <w:szCs w:val="16"/>
        <w:lang w:val="ta"/>
      </w:rPr>
      <w:t xml:space="preserve"> </w:t>
    </w:r>
    <w:sdt>
      <w:sdtPr>
        <w:rPr>
          <w:rFonts w:ascii="Nirmala UI" w:eastAsia="Latha" w:hAnsi="Nirmala UI" w:cs="Nirmala UI"/>
          <w:szCs w:val="16"/>
          <w:lang w:val="ta"/>
        </w:rPr>
        <w:id w:val="1230113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5B3B33">
          <w:rPr>
            <w:rFonts w:ascii="Nirmala UI" w:hAnsi="Nirmala UI" w:cs="Nirmala UI"/>
            <w:szCs w:val="16"/>
          </w:rPr>
          <w:fldChar w:fldCharType="begin"/>
        </w:r>
        <w:r w:rsidR="006B5ACF" w:rsidRPr="005B3B33">
          <w:rPr>
            <w:rFonts w:ascii="Nirmala UI" w:eastAsia="Latha" w:hAnsi="Nirmala UI" w:cs="Nirmala UI"/>
            <w:szCs w:val="16"/>
            <w:lang w:val="ta"/>
          </w:rPr>
          <w:instrText xml:space="preserve"> PAGE   \* MERGEFORMAT </w:instrText>
        </w:r>
        <w:r w:rsidR="006B5ACF" w:rsidRPr="005B3B33">
          <w:rPr>
            <w:rFonts w:ascii="Nirmala UI" w:hAnsi="Nirmala UI" w:cs="Nirmala UI"/>
            <w:szCs w:val="16"/>
          </w:rPr>
          <w:fldChar w:fldCharType="separate"/>
        </w:r>
        <w:r w:rsidR="006B5ACF" w:rsidRPr="005B3B33">
          <w:rPr>
            <w:rFonts w:ascii="Nirmala UI" w:eastAsia="Latha" w:hAnsi="Nirmala UI" w:cs="Nirmala UI"/>
            <w:szCs w:val="16"/>
            <w:lang w:val="ta"/>
          </w:rPr>
          <w:t>1</w:t>
        </w:r>
        <w:r w:rsidR="006B5ACF" w:rsidRPr="005B3B33">
          <w:rPr>
            <w:rFonts w:ascii="Nirmala UI" w:hAnsi="Nirmala UI" w:cs="Nirmala UI"/>
            <w:noProof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725B" w14:textId="77777777" w:rsidR="007534B6" w:rsidRDefault="007534B6" w:rsidP="00C030FD">
      <w:pPr>
        <w:spacing w:before="0" w:after="0" w:line="240" w:lineRule="auto"/>
      </w:pPr>
      <w:r>
        <w:separator/>
      </w:r>
    </w:p>
  </w:footnote>
  <w:footnote w:type="continuationSeparator" w:id="0">
    <w:p w14:paraId="5A3470B0" w14:textId="77777777" w:rsidR="007534B6" w:rsidRDefault="007534B6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7F9F" w14:textId="77777777" w:rsidR="006B6834" w:rsidRDefault="006B6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3405" w14:textId="1082D52C" w:rsidR="00180ABF" w:rsidRPr="005B3B33" w:rsidRDefault="00180ABF" w:rsidP="00346563">
    <w:pPr>
      <w:pStyle w:val="Header"/>
      <w:jc w:val="right"/>
      <w:rPr>
        <w:rFonts w:ascii="Nirmala UI" w:hAnsi="Nirmala UI" w:cs="Nirmala UI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CF70" w14:textId="77777777" w:rsidR="006A3840" w:rsidRPr="005B3B33" w:rsidRDefault="007534B6" w:rsidP="006A3840">
    <w:pPr>
      <w:pStyle w:val="Heading1"/>
      <w:rPr>
        <w:rFonts w:ascii="Nirmala UI" w:hAnsi="Nirmala UI" w:cs="Nirmala UI"/>
        <w:bCs/>
        <w:sz w:val="32"/>
        <w:szCs w:val="32"/>
      </w:rPr>
    </w:pPr>
    <w:r w:rsidRPr="005B3B33">
      <w:rPr>
        <w:rFonts w:ascii="Nirmala UI" w:hAnsi="Nirmala UI" w:cs="Nirmala U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0F14420" wp14:editId="32CF3A5F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>சிறு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 xml:space="preserve"> 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>வணிகங்களுக்கான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 xml:space="preserve"> 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>சர்ச்சைத்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 xml:space="preserve"> </w:t>
    </w:r>
    <w:r w:rsidRPr="005B3B33">
      <w:rPr>
        <w:rFonts w:ascii="Nirmala UI" w:eastAsia="Latha" w:hAnsi="Nirmala UI" w:cs="Nirmala UI"/>
        <w:bCs/>
        <w:sz w:val="32"/>
        <w:szCs w:val="32"/>
        <w:lang w:val="ta"/>
      </w:rPr>
      <w:t>தீர்வு</w:t>
    </w:r>
  </w:p>
  <w:p w14:paraId="784FE1D0" w14:textId="77777777" w:rsidR="00C030FD" w:rsidRPr="005B3B33" w:rsidRDefault="007534B6" w:rsidP="006A3840">
    <w:pPr>
      <w:pStyle w:val="Heading1"/>
      <w:rPr>
        <w:rFonts w:ascii="Nirmala UI" w:hAnsi="Nirmala UI" w:cs="Nirmala UI"/>
        <w:bCs/>
        <w:caps w:val="0"/>
        <w:sz w:val="22"/>
      </w:rPr>
    </w:pPr>
    <w:r w:rsidRPr="005B3B33">
      <w:rPr>
        <w:rFonts w:ascii="Nirmala UI" w:eastAsia="Latha" w:hAnsi="Nirmala UI" w:cs="Nirmala UI"/>
        <w:bCs/>
        <w:caps w:val="0"/>
        <w:sz w:val="22"/>
        <w:lang w:val="ta"/>
      </w:rPr>
      <w:t xml:space="preserve">Tamil | </w:t>
    </w:r>
    <w:r w:rsidRPr="005B3B33">
      <w:rPr>
        <w:rFonts w:ascii="Nirmala UI" w:eastAsia="Latha" w:hAnsi="Nirmala UI" w:cs="Nirmala UI"/>
        <w:bCs/>
        <w:caps w:val="0"/>
        <w:sz w:val="22"/>
        <w:lang w:val="ta"/>
      </w:rPr>
      <w:t>தமிழ்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EF402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48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4C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3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C4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43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B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4F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E2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B658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04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1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42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9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A9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83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4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A9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A9B4F332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7590A9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6A5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888D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8C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7ED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86F2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AAA4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F268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F9967F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C35C2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A8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C1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81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A3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AF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B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25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16A4E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DE6F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215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C46F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B8C1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10C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263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A036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E6DC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21E82B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F104C5B2" w:tentative="1">
      <w:start w:val="1"/>
      <w:numFmt w:val="lowerLetter"/>
      <w:lvlText w:val="%2."/>
      <w:lvlJc w:val="left"/>
      <w:pPr>
        <w:ind w:left="1103" w:hanging="360"/>
      </w:pPr>
    </w:lvl>
    <w:lvl w:ilvl="2" w:tplc="B6986B10" w:tentative="1">
      <w:start w:val="1"/>
      <w:numFmt w:val="lowerRoman"/>
      <w:lvlText w:val="%3."/>
      <w:lvlJc w:val="right"/>
      <w:pPr>
        <w:ind w:left="1823" w:hanging="180"/>
      </w:pPr>
    </w:lvl>
    <w:lvl w:ilvl="3" w:tplc="D38418EE" w:tentative="1">
      <w:start w:val="1"/>
      <w:numFmt w:val="decimal"/>
      <w:lvlText w:val="%4."/>
      <w:lvlJc w:val="left"/>
      <w:pPr>
        <w:ind w:left="2543" w:hanging="360"/>
      </w:pPr>
    </w:lvl>
    <w:lvl w:ilvl="4" w:tplc="D194B032" w:tentative="1">
      <w:start w:val="1"/>
      <w:numFmt w:val="lowerLetter"/>
      <w:lvlText w:val="%5."/>
      <w:lvlJc w:val="left"/>
      <w:pPr>
        <w:ind w:left="3263" w:hanging="360"/>
      </w:pPr>
    </w:lvl>
    <w:lvl w:ilvl="5" w:tplc="FCD405C0" w:tentative="1">
      <w:start w:val="1"/>
      <w:numFmt w:val="lowerRoman"/>
      <w:lvlText w:val="%6."/>
      <w:lvlJc w:val="right"/>
      <w:pPr>
        <w:ind w:left="3983" w:hanging="180"/>
      </w:pPr>
    </w:lvl>
    <w:lvl w:ilvl="6" w:tplc="FD46FBB0" w:tentative="1">
      <w:start w:val="1"/>
      <w:numFmt w:val="decimal"/>
      <w:lvlText w:val="%7."/>
      <w:lvlJc w:val="left"/>
      <w:pPr>
        <w:ind w:left="4703" w:hanging="360"/>
      </w:pPr>
    </w:lvl>
    <w:lvl w:ilvl="7" w:tplc="252EDBC4" w:tentative="1">
      <w:start w:val="1"/>
      <w:numFmt w:val="lowerLetter"/>
      <w:lvlText w:val="%8."/>
      <w:lvlJc w:val="left"/>
      <w:pPr>
        <w:ind w:left="5423" w:hanging="360"/>
      </w:pPr>
    </w:lvl>
    <w:lvl w:ilvl="8" w:tplc="94C618DA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26EA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27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E9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8C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46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4D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AC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A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4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427CE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0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680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EC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47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0A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ED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07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61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ADB0E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C0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22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E5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8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6E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F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B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A0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8028E8C6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8FBA7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E7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E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A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87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4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E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C5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DA58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21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C3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F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2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2F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D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6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0F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2132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CF2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A4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63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CF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EC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2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ED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3460A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C4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A2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42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43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AF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C3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23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81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57DE4B8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29561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60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F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A1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63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2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2A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2D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buo9iKMSaAYL3hr8zH3MicCeU+mjPhl2iHXtTIh+FQrGYa5eae/X8rSFGA+G8Q75UwT353k+zXt2YxiHNVdQ==" w:salt="aSKZ9+BvzNdCrwAZFEzVv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72B9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C0D9D"/>
    <w:rsid w:val="002C304F"/>
    <w:rsid w:val="002C790E"/>
    <w:rsid w:val="002D17F4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7A65"/>
    <w:rsid w:val="00382127"/>
    <w:rsid w:val="00385055"/>
    <w:rsid w:val="00385602"/>
    <w:rsid w:val="00386FCF"/>
    <w:rsid w:val="00390771"/>
    <w:rsid w:val="003A091C"/>
    <w:rsid w:val="003A79B9"/>
    <w:rsid w:val="003B2208"/>
    <w:rsid w:val="003D1F59"/>
    <w:rsid w:val="003D2E5A"/>
    <w:rsid w:val="003E32EF"/>
    <w:rsid w:val="00405E19"/>
    <w:rsid w:val="00406C13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3B33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063B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B6834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31C65"/>
    <w:rsid w:val="0073205C"/>
    <w:rsid w:val="00732F31"/>
    <w:rsid w:val="0074673D"/>
    <w:rsid w:val="0074769C"/>
    <w:rsid w:val="00751301"/>
    <w:rsid w:val="00751463"/>
    <w:rsid w:val="007534B6"/>
    <w:rsid w:val="00753943"/>
    <w:rsid w:val="007545F6"/>
    <w:rsid w:val="007556F5"/>
    <w:rsid w:val="0076431D"/>
    <w:rsid w:val="00764C6D"/>
    <w:rsid w:val="00772FF6"/>
    <w:rsid w:val="0077323C"/>
    <w:rsid w:val="007956D9"/>
    <w:rsid w:val="00797C91"/>
    <w:rsid w:val="007A334B"/>
    <w:rsid w:val="007C0FDC"/>
    <w:rsid w:val="007C1A36"/>
    <w:rsid w:val="007C1CD3"/>
    <w:rsid w:val="007C3F3C"/>
    <w:rsid w:val="007C5293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F5031"/>
    <w:rsid w:val="009062BF"/>
    <w:rsid w:val="00910C5E"/>
    <w:rsid w:val="009262AD"/>
    <w:rsid w:val="00930D0B"/>
    <w:rsid w:val="0093120F"/>
    <w:rsid w:val="00933630"/>
    <w:rsid w:val="00941A24"/>
    <w:rsid w:val="009436F2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240A"/>
    <w:rsid w:val="009D2EF0"/>
    <w:rsid w:val="009D3A96"/>
    <w:rsid w:val="009D5361"/>
    <w:rsid w:val="009D53ED"/>
    <w:rsid w:val="009D5C53"/>
    <w:rsid w:val="009E2F84"/>
    <w:rsid w:val="009E5D61"/>
    <w:rsid w:val="009F28D6"/>
    <w:rsid w:val="009F6E9D"/>
    <w:rsid w:val="00A30630"/>
    <w:rsid w:val="00A37DC4"/>
    <w:rsid w:val="00A407B7"/>
    <w:rsid w:val="00A46150"/>
    <w:rsid w:val="00A52EA9"/>
    <w:rsid w:val="00A63638"/>
    <w:rsid w:val="00A67666"/>
    <w:rsid w:val="00A734DA"/>
    <w:rsid w:val="00A75CED"/>
    <w:rsid w:val="00A87BE7"/>
    <w:rsid w:val="00A91D85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4173"/>
    <w:rsid w:val="00B6159F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B0512"/>
    <w:rsid w:val="00BB24DE"/>
    <w:rsid w:val="00BB6B92"/>
    <w:rsid w:val="00BC47BE"/>
    <w:rsid w:val="00BC5DAC"/>
    <w:rsid w:val="00BC7A64"/>
    <w:rsid w:val="00BD0CC6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CF68CA"/>
    <w:rsid w:val="00D07B82"/>
    <w:rsid w:val="00D07C92"/>
    <w:rsid w:val="00D109F4"/>
    <w:rsid w:val="00D172AB"/>
    <w:rsid w:val="00D22E91"/>
    <w:rsid w:val="00D234F3"/>
    <w:rsid w:val="00D308E2"/>
    <w:rsid w:val="00D319D7"/>
    <w:rsid w:val="00D31F7B"/>
    <w:rsid w:val="00D405A9"/>
    <w:rsid w:val="00D4064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65AE"/>
    <w:rsid w:val="00E07814"/>
    <w:rsid w:val="00E103A1"/>
    <w:rsid w:val="00E10513"/>
    <w:rsid w:val="00E307AA"/>
    <w:rsid w:val="00E45E6F"/>
    <w:rsid w:val="00E51E03"/>
    <w:rsid w:val="00E56CEF"/>
    <w:rsid w:val="00E6083E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EF171C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91EF4"/>
    <w:rsid w:val="00F957BA"/>
    <w:rsid w:val="00FA26D1"/>
    <w:rsid w:val="00FA2AFC"/>
    <w:rsid w:val="00FA3488"/>
    <w:rsid w:val="00FB53EA"/>
    <w:rsid w:val="00FC041A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FDAF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sbc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sbc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usiness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iv.asn.au/referr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3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7384</Characters>
  <Application>Microsoft Office Word</Application>
  <DocSecurity>8</DocSecurity>
  <Lines>307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2026-05-25T23:55:00Z</dcterms:created>
  <dcterms:modified xsi:type="dcterms:W3CDTF">2026-05-25T23:55:00Z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