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2B37" w14:textId="77777777" w:rsidR="00180ABF" w:rsidRPr="00864EBA" w:rsidRDefault="00180ABF" w:rsidP="00E1483F">
      <w:pPr>
        <w:spacing w:line="19" w:lineRule="atLeast"/>
        <w:rPr>
          <w:szCs w:val="21"/>
        </w:rPr>
        <w:sectPr w:rsidR="00180ABF" w:rsidRPr="00864EBA" w:rsidSect="00B13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661" w:right="737" w:bottom="1361" w:left="737" w:header="567" w:footer="567" w:gutter="0"/>
          <w:cols w:space="720"/>
          <w:titlePg/>
          <w:docGrid w:linePitch="299"/>
        </w:sectPr>
      </w:pPr>
    </w:p>
    <w:p w14:paraId="157FD385" w14:textId="77777777" w:rsidR="006B5FF5" w:rsidRPr="00864EBA" w:rsidRDefault="006D0BDF" w:rsidP="00E1483F">
      <w:pPr>
        <w:pStyle w:val="Heading2"/>
        <w:spacing w:line="19" w:lineRule="atLeast"/>
        <w:ind w:left="0"/>
        <w:rPr>
          <w:rFonts w:asciiTheme="majorHAnsi" w:hAnsiTheme="majorHAnsi"/>
          <w:b/>
          <w:bCs/>
          <w:caps/>
          <w:sz w:val="28"/>
          <w:szCs w:val="28"/>
        </w:rPr>
      </w:pPr>
      <w:r w:rsidRPr="00864EBA">
        <w:rPr>
          <w:rFonts w:asciiTheme="majorHAnsi" w:hAnsiTheme="majorHAnsi"/>
          <w:b/>
          <w:bCs/>
          <w:caps/>
          <w:sz w:val="28"/>
          <w:szCs w:val="28"/>
          <w:lang w:val="it"/>
        </w:rPr>
        <w:t>Come i piccoli imprenditori del Victoria possono risolvere una controversia commerciale</w:t>
      </w:r>
    </w:p>
    <w:p w14:paraId="63E2566D" w14:textId="77777777" w:rsidR="00C60A01" w:rsidRPr="00864EBA" w:rsidRDefault="006D0BDF" w:rsidP="00E1483F">
      <w:pPr>
        <w:spacing w:line="19" w:lineRule="atLeast"/>
        <w:rPr>
          <w:b/>
          <w:bCs/>
          <w:szCs w:val="21"/>
        </w:rPr>
      </w:pPr>
      <w:r w:rsidRPr="00864EBA">
        <w:rPr>
          <w:b/>
          <w:bCs/>
          <w:szCs w:val="21"/>
          <w:lang w:val="it"/>
        </w:rPr>
        <w:t>Chi può assistere i piccoli imprenditori nella risoluzione di una controversia?</w:t>
      </w:r>
    </w:p>
    <w:p w14:paraId="7D1A8DE1" w14:textId="77777777" w:rsidR="002172B9" w:rsidRPr="00864EBA" w:rsidRDefault="006D0BDF" w:rsidP="00E1483F">
      <w:pPr>
        <w:spacing w:line="19" w:lineRule="atLeast"/>
        <w:rPr>
          <w:szCs w:val="21"/>
        </w:rPr>
      </w:pPr>
      <w:r w:rsidRPr="00864EBA">
        <w:rPr>
          <w:szCs w:val="21"/>
          <w:lang w:val="it"/>
        </w:rPr>
        <w:t>I piccoli imprenditori che si trovano ad affrontare una controversia commerciale (un disaccordo su una questione d’affari) con un locatore, fornitore, franchisor o cliente possono rivolgersi alla Victorian Small Business Commission (VSBC) per ottenere assistenza nella risoluzione della controversia.</w:t>
      </w:r>
    </w:p>
    <w:p w14:paraId="7EC1DB5C" w14:textId="77777777" w:rsidR="000D5EC7" w:rsidRPr="00864EBA" w:rsidRDefault="006D0BDF" w:rsidP="00E1483F">
      <w:pPr>
        <w:spacing w:line="19" w:lineRule="atLeast"/>
        <w:rPr>
          <w:b/>
          <w:bCs/>
          <w:szCs w:val="21"/>
        </w:rPr>
      </w:pPr>
      <w:r w:rsidRPr="00864EBA">
        <w:rPr>
          <w:b/>
          <w:bCs/>
          <w:szCs w:val="21"/>
          <w:lang w:val="it"/>
        </w:rPr>
        <w:t xml:space="preserve">Cos’è la Victorian Small Business Commission (VSBC)? </w:t>
      </w:r>
    </w:p>
    <w:p w14:paraId="6E09448A" w14:textId="77777777" w:rsidR="00C66B82" w:rsidRPr="00864EBA" w:rsidRDefault="006D0BDF" w:rsidP="00E1483F">
      <w:pPr>
        <w:spacing w:line="19" w:lineRule="atLeast"/>
        <w:rPr>
          <w:szCs w:val="21"/>
        </w:rPr>
      </w:pPr>
      <w:r w:rsidRPr="00864EBA">
        <w:rPr>
          <w:szCs w:val="21"/>
          <w:lang w:val="it"/>
        </w:rPr>
        <w:t xml:space="preserve">La VSBC è un ente governativo indipendente che aiuta le piccole imprese a risolvere le controversie attraverso un processo chiamato risoluzione alternativa delle controversie (Alternative Dispute Resolution, ADR). Questo meccanismo è stato istituito dal </w:t>
      </w:r>
      <w:r w:rsidR="006F7AD8" w:rsidRPr="00864EBA">
        <w:rPr>
          <w:i/>
          <w:szCs w:val="21"/>
          <w:lang w:val="it"/>
        </w:rPr>
        <w:t xml:space="preserve">Victorian Small Business Commission Act 2017 </w:t>
      </w:r>
      <w:r w:rsidRPr="00864EBA">
        <w:rPr>
          <w:szCs w:val="21"/>
          <w:lang w:val="it"/>
        </w:rPr>
        <w:t>(Legge sulla Victorian Small Business Commission del 2017, la “legge”)</w:t>
      </w:r>
      <w:r w:rsidR="00947779" w:rsidRPr="00864EBA">
        <w:rPr>
          <w:i/>
          <w:iCs/>
          <w:szCs w:val="21"/>
          <w:lang w:val="it"/>
        </w:rPr>
        <w:t>.</w:t>
      </w:r>
    </w:p>
    <w:p w14:paraId="74976687" w14:textId="77777777" w:rsidR="001E2BFC" w:rsidRPr="00864EBA" w:rsidRDefault="006D0BDF" w:rsidP="00E1483F">
      <w:pPr>
        <w:spacing w:line="19" w:lineRule="atLeast"/>
        <w:rPr>
          <w:b/>
          <w:bCs/>
          <w:szCs w:val="21"/>
        </w:rPr>
      </w:pPr>
      <w:r w:rsidRPr="00864EBA">
        <w:rPr>
          <w:b/>
          <w:bCs/>
          <w:szCs w:val="21"/>
          <w:lang w:val="it"/>
        </w:rPr>
        <w:t>Che cos’è la risoluzione alternativa delle controversie (ADR)?</w:t>
      </w:r>
    </w:p>
    <w:p w14:paraId="6F4547BF" w14:textId="77777777" w:rsidR="00FA3488" w:rsidRPr="00864EBA" w:rsidRDefault="006D0BDF" w:rsidP="00E1483F">
      <w:pPr>
        <w:spacing w:line="19" w:lineRule="atLeast"/>
        <w:rPr>
          <w:szCs w:val="21"/>
        </w:rPr>
      </w:pPr>
      <w:r w:rsidRPr="00864EBA">
        <w:rPr>
          <w:szCs w:val="21"/>
          <w:lang w:val="it"/>
        </w:rPr>
        <w:t xml:space="preserve">L’ADR è un processo in cui le parti (persone o imprese coinvolte in una controversia) risolvono i propri conflitti attraverso la negoziazione, senza ricorrere a un tribunale. </w:t>
      </w:r>
    </w:p>
    <w:p w14:paraId="4FDE4A38" w14:textId="77777777" w:rsidR="00C550C5" w:rsidRPr="00864EBA" w:rsidRDefault="006D0BDF" w:rsidP="00E1483F">
      <w:pPr>
        <w:spacing w:line="19" w:lineRule="atLeast"/>
        <w:rPr>
          <w:szCs w:val="21"/>
        </w:rPr>
      </w:pPr>
      <w:r w:rsidRPr="00864EBA">
        <w:rPr>
          <w:szCs w:val="21"/>
          <w:lang w:val="it"/>
        </w:rPr>
        <w:t xml:space="preserve">L’ADR può essere svolta in diversi modi. La VSBC offre principalmente l’ADR attraverso un metodo chiamato mediazione. </w:t>
      </w:r>
    </w:p>
    <w:p w14:paraId="1DD22C79" w14:textId="77777777" w:rsidR="00991FFC" w:rsidRPr="00864EBA" w:rsidRDefault="006D0BDF" w:rsidP="00E1483F">
      <w:pPr>
        <w:spacing w:line="19" w:lineRule="atLeast"/>
        <w:rPr>
          <w:b/>
          <w:bCs/>
          <w:szCs w:val="21"/>
        </w:rPr>
      </w:pPr>
      <w:r w:rsidRPr="00864EBA">
        <w:rPr>
          <w:b/>
          <w:bCs/>
          <w:szCs w:val="21"/>
          <w:lang w:val="it"/>
        </w:rPr>
        <w:t>Quali sono i vantaggi dell’ADR?</w:t>
      </w:r>
    </w:p>
    <w:p w14:paraId="2300E78A" w14:textId="77777777" w:rsidR="00373737" w:rsidRPr="00864EBA" w:rsidRDefault="006D0BDF" w:rsidP="00E1483F">
      <w:pPr>
        <w:spacing w:before="60" w:after="60" w:line="19" w:lineRule="atLeast"/>
        <w:rPr>
          <w:szCs w:val="21"/>
        </w:rPr>
      </w:pPr>
      <w:r w:rsidRPr="00864EBA">
        <w:rPr>
          <w:szCs w:val="21"/>
          <w:lang w:val="it"/>
        </w:rPr>
        <w:t>L’ADR è più rapida e meno costosa del sistema giudiziario. È un processo confidenziale e meno formale rispetto ai procedimenti giudiziari. In confronto, molte persone considerano l’ADR meno stressante.</w:t>
      </w:r>
    </w:p>
    <w:p w14:paraId="74BF5AD8" w14:textId="77777777" w:rsidR="00215B86" w:rsidRPr="00864EBA" w:rsidRDefault="006D0BDF" w:rsidP="00E1483F">
      <w:pPr>
        <w:spacing w:line="19" w:lineRule="atLeast"/>
        <w:rPr>
          <w:b/>
          <w:bCs/>
          <w:szCs w:val="21"/>
        </w:rPr>
      </w:pPr>
      <w:r w:rsidRPr="00864EBA">
        <w:rPr>
          <w:b/>
          <w:bCs/>
          <w:szCs w:val="21"/>
          <w:lang w:val="it"/>
        </w:rPr>
        <w:t>Che cos’è la mediazione?</w:t>
      </w:r>
    </w:p>
    <w:p w14:paraId="6C0CF5C5" w14:textId="77777777" w:rsidR="001F66F5" w:rsidRPr="00864EBA" w:rsidRDefault="006D0BDF" w:rsidP="00E1483F">
      <w:pPr>
        <w:spacing w:before="60" w:after="60" w:line="19" w:lineRule="atLeast"/>
        <w:rPr>
          <w:szCs w:val="21"/>
        </w:rPr>
      </w:pPr>
      <w:r w:rsidRPr="00864EBA">
        <w:rPr>
          <w:szCs w:val="21"/>
          <w:lang w:val="it"/>
        </w:rPr>
        <w:t xml:space="preserve">La mediazione è un incontro tra le parti in causa, condotto da un mediatore, con l’obiettivo di trovare una soluzione condivisa. Il mediatore è un facilitatore indipendente e imparziale delle trattative. Questo significa che è neutrale. Il suo ruolo è quello di incoraggiare il dialogo tra le parti in causa al fine di raggiungere una soluzione reciprocamente accettabile. </w:t>
      </w:r>
    </w:p>
    <w:p w14:paraId="483D7696" w14:textId="53AAED0D" w:rsidR="00093CF0" w:rsidRPr="00864EBA" w:rsidRDefault="00E1483F" w:rsidP="00E1483F">
      <w:pPr>
        <w:spacing w:before="60" w:after="60" w:line="19" w:lineRule="atLeast"/>
        <w:rPr>
          <w:b/>
          <w:bCs/>
          <w:szCs w:val="21"/>
        </w:rPr>
      </w:pPr>
      <w:r>
        <w:rPr>
          <w:b/>
          <w:bCs/>
          <w:szCs w:val="21"/>
          <w:lang w:val="it"/>
        </w:rPr>
        <w:br w:type="column"/>
      </w:r>
      <w:r w:rsidRPr="00864EBA">
        <w:rPr>
          <w:b/>
          <w:bCs/>
          <w:szCs w:val="21"/>
          <w:lang w:val="it"/>
        </w:rPr>
        <w:t xml:space="preserve">Chi fa da mediatore della controversia? </w:t>
      </w:r>
    </w:p>
    <w:p w14:paraId="78FB213F" w14:textId="77777777" w:rsidR="00073E32" w:rsidRPr="00864EBA" w:rsidRDefault="006D0BDF" w:rsidP="00E1483F">
      <w:pPr>
        <w:spacing w:before="60" w:line="19" w:lineRule="atLeast"/>
        <w:rPr>
          <w:szCs w:val="21"/>
        </w:rPr>
      </w:pPr>
      <w:r w:rsidRPr="00864EBA">
        <w:rPr>
          <w:szCs w:val="21"/>
          <w:lang w:val="it"/>
        </w:rPr>
        <w:t xml:space="preserve">La VSBC nomina un mediatore indipendente e imparziale dal proprio elenco di professionisti esperti e accreditati. </w:t>
      </w: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4F1E53" w14:paraId="589FAF5C" w14:textId="77777777" w:rsidTr="004F1E5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55375609" w14:textId="77777777" w:rsidR="006B5FF5" w:rsidRPr="003D2E5A" w:rsidRDefault="006D0BDF" w:rsidP="00E1483F">
            <w:pPr>
              <w:spacing w:line="19" w:lineRule="atLeast"/>
              <w:rPr>
                <w:bCs/>
                <w:sz w:val="24"/>
                <w:szCs w:val="24"/>
              </w:rPr>
            </w:pPr>
            <w:r w:rsidRPr="003D2E5A">
              <w:rPr>
                <w:bCs/>
                <w:sz w:val="24"/>
                <w:szCs w:val="24"/>
                <w:lang w:val="it"/>
              </w:rPr>
              <w:t xml:space="preserve">Quali tipi di controversie commerciali possono essere risolte con l’assistenza della VSBC? </w:t>
            </w:r>
          </w:p>
          <w:p w14:paraId="46EC838A" w14:textId="77777777" w:rsidR="00083AFC" w:rsidRPr="003D2E5A" w:rsidRDefault="006D0BDF" w:rsidP="00E1483F">
            <w:pPr>
              <w:widowControl w:val="0"/>
              <w:autoSpaceDE w:val="0"/>
              <w:autoSpaceDN w:val="0"/>
              <w:spacing w:line="19" w:lineRule="atLeast"/>
              <w:ind w:left="23"/>
              <w:rPr>
                <w:szCs w:val="21"/>
              </w:rPr>
            </w:pPr>
            <w:r w:rsidRPr="003D2E5A">
              <w:rPr>
                <w:b w:val="0"/>
                <w:szCs w:val="21"/>
                <w:lang w:val="it"/>
              </w:rPr>
              <w:t>La VSBC può aiutare a risolvere le controversie commerciali tra una piccola impresa del Victoria e un’altra impresa o un ente governativo. Di seguito sono riportati alcuni esempi di controversie per le quali la VSBC può fornire assistenza.</w:t>
            </w:r>
          </w:p>
          <w:p w14:paraId="7A7F3107" w14:textId="77777777" w:rsidR="0001046A" w:rsidRPr="003D2E5A" w:rsidRDefault="006D0BDF" w:rsidP="00E1483F">
            <w:pPr>
              <w:pStyle w:val="ListParagraph"/>
              <w:numPr>
                <w:ilvl w:val="0"/>
                <w:numId w:val="6"/>
              </w:numPr>
              <w:spacing w:line="19" w:lineRule="atLeast"/>
              <w:rPr>
                <w:szCs w:val="21"/>
                <w:lang w:val="en-AU"/>
              </w:rPr>
            </w:pPr>
            <w:r w:rsidRPr="003D2E5A">
              <w:rPr>
                <w:bCs/>
                <w:szCs w:val="21"/>
                <w:lang w:val="it"/>
              </w:rPr>
              <w:t>Controversie relative a contratti di locazione commerciale al dettaglio:</w:t>
            </w:r>
            <w:r w:rsidRPr="003D2E5A">
              <w:rPr>
                <w:b w:val="0"/>
                <w:szCs w:val="21"/>
                <w:lang w:val="it"/>
              </w:rPr>
              <w:t xml:space="preserve"> disaccordi tra affittuari e locatori. Ad esempio, revisioni del canone di locazione, riparazioni o clausole di “ripristino” (make good clause).</w:t>
            </w:r>
          </w:p>
          <w:p w14:paraId="7C88C8F5" w14:textId="77777777" w:rsidR="00B80B0A" w:rsidRPr="003D2E5A" w:rsidRDefault="006D0BDF" w:rsidP="00E1483F">
            <w:pPr>
              <w:pStyle w:val="ListParagraph"/>
              <w:numPr>
                <w:ilvl w:val="0"/>
                <w:numId w:val="6"/>
              </w:numPr>
              <w:spacing w:line="19" w:lineRule="atLeast"/>
              <w:rPr>
                <w:szCs w:val="21"/>
                <w:lang w:val="en-AU"/>
              </w:rPr>
            </w:pPr>
            <w:r w:rsidRPr="003D2E5A">
              <w:rPr>
                <w:bCs/>
                <w:szCs w:val="21"/>
                <w:lang w:val="it"/>
              </w:rPr>
              <w:t>Controversie contrattuali:</w:t>
            </w:r>
            <w:r w:rsidRPr="003D2E5A">
              <w:rPr>
                <w:b w:val="0"/>
                <w:szCs w:val="21"/>
                <w:lang w:val="it"/>
              </w:rPr>
              <w:t xml:space="preserve"> controversie relative alla qualità dei prodotti, alle condizioni di un accordo commerciale o alla mancata fornitura di servizi.</w:t>
            </w:r>
          </w:p>
          <w:p w14:paraId="2692631B" w14:textId="77777777" w:rsidR="004F209D" w:rsidRPr="003D2E5A" w:rsidRDefault="006D0BDF" w:rsidP="00E1483F">
            <w:pPr>
              <w:pStyle w:val="ListParagraph"/>
              <w:numPr>
                <w:ilvl w:val="0"/>
                <w:numId w:val="6"/>
              </w:numPr>
              <w:spacing w:line="19" w:lineRule="atLeast"/>
              <w:rPr>
                <w:szCs w:val="21"/>
                <w:lang w:val="en-AU"/>
              </w:rPr>
            </w:pPr>
            <w:r w:rsidRPr="003D2E5A">
              <w:rPr>
                <w:bCs/>
                <w:szCs w:val="21"/>
                <w:lang w:val="it"/>
              </w:rPr>
              <w:t>Controversie in materia di franchising:</w:t>
            </w:r>
            <w:r w:rsidRPr="003D2E5A">
              <w:rPr>
                <w:b w:val="0"/>
                <w:szCs w:val="21"/>
                <w:lang w:val="it"/>
              </w:rPr>
              <w:t xml:space="preserve"> disaccordi su questioni commerciali tra franchisor e franchisee. </w:t>
            </w:r>
          </w:p>
          <w:p w14:paraId="58F0BF46" w14:textId="77777777" w:rsidR="00ED1515" w:rsidRPr="003D2E5A" w:rsidRDefault="006D0BDF" w:rsidP="00E1483F">
            <w:pPr>
              <w:pStyle w:val="ListParagraph"/>
              <w:numPr>
                <w:ilvl w:val="0"/>
                <w:numId w:val="6"/>
              </w:numPr>
              <w:spacing w:line="19" w:lineRule="atLeast"/>
              <w:rPr>
                <w:szCs w:val="21"/>
                <w:lang w:val="en-AU"/>
              </w:rPr>
            </w:pPr>
            <w:r w:rsidRPr="003D2E5A">
              <w:rPr>
                <w:bCs/>
                <w:szCs w:val="21"/>
                <w:lang w:val="it"/>
              </w:rPr>
              <w:t>Controversie in materia di trasporti e silvicoltura:</w:t>
            </w:r>
            <w:r w:rsidRPr="003D2E5A">
              <w:rPr>
                <w:b w:val="0"/>
                <w:szCs w:val="21"/>
                <w:lang w:val="it"/>
              </w:rPr>
              <w:t xml:space="preserve"> controversie tra operatori forestali o proprietari di veicoli commerciali e i loro locatari.</w:t>
            </w:r>
          </w:p>
          <w:p w14:paraId="26E6D0AD" w14:textId="77777777" w:rsidR="0001046A" w:rsidRPr="003D2E5A" w:rsidRDefault="006D0BDF" w:rsidP="00E1483F">
            <w:pPr>
              <w:pStyle w:val="ListParagraph"/>
              <w:numPr>
                <w:ilvl w:val="0"/>
                <w:numId w:val="6"/>
              </w:numPr>
              <w:spacing w:line="19" w:lineRule="atLeast"/>
              <w:rPr>
                <w:szCs w:val="21"/>
                <w:lang w:val="en-AU"/>
              </w:rPr>
            </w:pPr>
            <w:r w:rsidRPr="003D2E5A">
              <w:rPr>
                <w:bCs/>
                <w:szCs w:val="21"/>
                <w:lang w:val="it"/>
              </w:rPr>
              <w:t>Fatture e debiti non pagati:</w:t>
            </w:r>
            <w:r w:rsidRPr="003D2E5A">
              <w:rPr>
                <w:b w:val="0"/>
                <w:szCs w:val="21"/>
                <w:lang w:val="it"/>
              </w:rPr>
              <w:t xml:space="preserve"> assistenza nel recupero di somme dovute da clienti commerciali o nella risoluzione di problemi di pagamento con i fornitori.</w:t>
            </w:r>
          </w:p>
          <w:p w14:paraId="7FE03411" w14:textId="77777777" w:rsidR="0001046A" w:rsidRPr="003D2E5A" w:rsidRDefault="006D0BDF" w:rsidP="00E1483F">
            <w:pPr>
              <w:pStyle w:val="ListParagraph"/>
              <w:numPr>
                <w:ilvl w:val="0"/>
                <w:numId w:val="6"/>
              </w:numPr>
              <w:spacing w:line="19" w:lineRule="atLeast"/>
              <w:rPr>
                <w:szCs w:val="21"/>
                <w:lang w:val="en-AU"/>
              </w:rPr>
            </w:pPr>
            <w:r w:rsidRPr="003D2E5A">
              <w:rPr>
                <w:bCs/>
                <w:szCs w:val="21"/>
                <w:lang w:val="it"/>
              </w:rPr>
              <w:t>Controversie con enti pubblici:</w:t>
            </w:r>
            <w:r w:rsidRPr="003D2E5A">
              <w:rPr>
                <w:b w:val="0"/>
                <w:szCs w:val="21"/>
                <w:lang w:val="it"/>
              </w:rPr>
              <w:t xml:space="preserve"> disaccordi commerciali di una piccola impresa con un’agenzia o un’autorità governativa, ad esempio sulle condizioni contrattuali o su una procedura di appalto.</w:t>
            </w:r>
          </w:p>
          <w:p w14:paraId="573A6B5B" w14:textId="77777777" w:rsidR="00083AFC" w:rsidRPr="003D2E5A" w:rsidRDefault="006D0BDF" w:rsidP="00E1483F">
            <w:pPr>
              <w:pStyle w:val="ListParagraph"/>
              <w:numPr>
                <w:ilvl w:val="0"/>
                <w:numId w:val="6"/>
              </w:numPr>
              <w:spacing w:line="19" w:lineRule="atLeast"/>
              <w:rPr>
                <w:szCs w:val="21"/>
                <w:lang w:val="en-AU"/>
              </w:rPr>
            </w:pPr>
            <w:r w:rsidRPr="003D2E5A">
              <w:rPr>
                <w:bCs/>
                <w:szCs w:val="21"/>
                <w:lang w:val="it"/>
              </w:rPr>
              <w:t>Lavoratori della gig economy e piattaforme digitali:</w:t>
            </w:r>
            <w:r w:rsidRPr="003D2E5A">
              <w:rPr>
                <w:b w:val="0"/>
                <w:szCs w:val="21"/>
                <w:lang w:val="it"/>
              </w:rPr>
              <w:t xml:space="preserve"> lavoratori indipendenti (come autisti per consegne, conducenti di rideshare e operatori di assistenza) in conflitto con le piattaforme digitali in merito ai pagamenti o al trattamento contrattuale.</w:t>
            </w:r>
          </w:p>
          <w:p w14:paraId="77357392" w14:textId="77777777" w:rsidR="00F83379" w:rsidRPr="003D2E5A" w:rsidRDefault="006D0BDF" w:rsidP="00E1483F">
            <w:pPr>
              <w:pStyle w:val="ListParagraph"/>
              <w:numPr>
                <w:ilvl w:val="0"/>
                <w:numId w:val="0"/>
              </w:numPr>
              <w:spacing w:line="19" w:lineRule="atLeast"/>
              <w:ind w:left="360"/>
              <w:rPr>
                <w:szCs w:val="21"/>
                <w:lang w:val="en-AU"/>
              </w:rPr>
            </w:pPr>
            <w:r w:rsidRPr="003D2E5A">
              <w:rPr>
                <w:b w:val="0"/>
                <w:szCs w:val="21"/>
                <w:lang w:val="it"/>
              </w:rPr>
              <w:t>N.B.: le controversie sulla disattivazione dell’account (quando un lavoratore viene bloccato da un’app) devono essere presentate alla Fair Work Commission, non alla VSBC.</w:t>
            </w:r>
          </w:p>
        </w:tc>
      </w:tr>
    </w:tbl>
    <w:p w14:paraId="72C8B72A" w14:textId="77777777" w:rsidR="00FA26D1" w:rsidRPr="00C03E41" w:rsidRDefault="006D0BDF" w:rsidP="00C03E41">
      <w:pPr>
        <w:pStyle w:val="Heading2"/>
        <w:spacing w:line="233" w:lineRule="auto"/>
        <w:rPr>
          <w:rFonts w:asciiTheme="majorHAnsi" w:hAnsiTheme="majorHAnsi"/>
          <w:b/>
          <w:bCs/>
          <w:caps/>
          <w:spacing w:val="-2"/>
          <w:sz w:val="28"/>
          <w:szCs w:val="28"/>
        </w:rPr>
      </w:pPr>
      <w:r w:rsidRPr="00864EBA">
        <w:rPr>
          <w:rFonts w:asciiTheme="majorHAnsi" w:hAnsiTheme="majorHAnsi"/>
          <w:b/>
          <w:bCs/>
          <w:caps/>
          <w:sz w:val="28"/>
          <w:szCs w:val="28"/>
          <w:lang w:val="it"/>
        </w:rPr>
        <w:lastRenderedPageBreak/>
        <w:t>I</w:t>
      </w:r>
      <w:r w:rsidRPr="00C03E41">
        <w:rPr>
          <w:rFonts w:asciiTheme="majorHAnsi" w:hAnsiTheme="majorHAnsi"/>
          <w:b/>
          <w:bCs/>
          <w:caps/>
          <w:spacing w:val="-2"/>
          <w:sz w:val="28"/>
          <w:szCs w:val="28"/>
          <w:lang w:val="it"/>
        </w:rPr>
        <w:t xml:space="preserve">L PROCESSO DI RISOLUZIONE ALTERNATIVA DELLE CONTROVERSIE DELLA VSBC </w:t>
      </w:r>
    </w:p>
    <w:p w14:paraId="1927B814" w14:textId="7513C0B4" w:rsidR="00FA26D1" w:rsidRPr="00C03E41" w:rsidRDefault="006D0BDF" w:rsidP="00C03E41">
      <w:pPr>
        <w:pStyle w:val="ListParagraph"/>
        <w:numPr>
          <w:ilvl w:val="0"/>
          <w:numId w:val="13"/>
        </w:numPr>
        <w:spacing w:line="233" w:lineRule="auto"/>
        <w:rPr>
          <w:b/>
          <w:bCs/>
          <w:spacing w:val="-2"/>
          <w:szCs w:val="21"/>
        </w:rPr>
      </w:pPr>
      <w:r w:rsidRPr="00C03E41">
        <w:rPr>
          <w:b/>
          <w:bCs/>
          <w:spacing w:val="-2"/>
          <w:szCs w:val="21"/>
          <w:lang w:val="it"/>
        </w:rPr>
        <w:t xml:space="preserve">Richiedi assistenza sul sito </w:t>
      </w:r>
      <w:hyperlink r:id="rId17" w:history="1">
        <w:r w:rsidR="00FA26D1" w:rsidRPr="00C03E41">
          <w:rPr>
            <w:rStyle w:val="Hyperlink"/>
            <w:b/>
            <w:bCs/>
            <w:color w:val="231F20" w:themeColor="text1"/>
            <w:spacing w:val="-2"/>
            <w:szCs w:val="21"/>
            <w:u w:val="none"/>
            <w:lang w:val="it"/>
          </w:rPr>
          <w:t>vsbc.vic.gov.au</w:t>
        </w:r>
      </w:hyperlink>
    </w:p>
    <w:p w14:paraId="23CD92D6" w14:textId="77777777" w:rsidR="00753943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Le domande di assistenza devono essere presentate tramite il sito web della VSBC.</w:t>
      </w:r>
    </w:p>
    <w:p w14:paraId="2086DEBB" w14:textId="77777777" w:rsidR="00FA26D1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Dovrai fornire i tuoi dati di contatto e l’Australian Business Number (ABN), oltre ai dati di contatto della controparte. Dovrai inoltre fornire la documentazione che descrive la tua controversia, comprese eventuali prove.</w:t>
      </w:r>
    </w:p>
    <w:p w14:paraId="711B6E3E" w14:textId="77777777" w:rsidR="00FA26D1" w:rsidRPr="00C03E41" w:rsidRDefault="006D0BDF" w:rsidP="00C03E41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33" w:lineRule="auto"/>
        <w:contextualSpacing/>
        <w:rPr>
          <w:b/>
          <w:bCs/>
          <w:spacing w:val="-2"/>
          <w:szCs w:val="21"/>
        </w:rPr>
      </w:pPr>
      <w:r w:rsidRPr="00C03E41">
        <w:rPr>
          <w:b/>
          <w:bCs/>
          <w:spacing w:val="-2"/>
          <w:szCs w:val="21"/>
          <w:lang w:val="it"/>
        </w:rPr>
        <w:t>Assistenza preliminare per la risoluzione delle controversie</w:t>
      </w:r>
    </w:p>
    <w:p w14:paraId="44613736" w14:textId="77777777" w:rsidR="00FA26D1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Un funzionario per la risoluzione delle controversie (Dispute Resolution Officer, DRO) della VSBC gestirà la tua pratica e sarà il tuo referente principale durante l’intero processo.</w:t>
      </w:r>
    </w:p>
    <w:p w14:paraId="608FE1AA" w14:textId="77777777" w:rsidR="00FA26D1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Il ruolo del DRO è quello di aiutare il richiedente e l’organizzazione con cui è in corso la controversia a discutere la questione. Il DRO rimane imparziale durante tutto il processo. Il suo compito è quello di incoraggiare le parti a considerare soluzioni alla controversia che possano essere accettate da entrambe le parti.</w:t>
      </w:r>
    </w:p>
    <w:p w14:paraId="0AD128CD" w14:textId="77777777" w:rsidR="00FA26D1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Questo servizio è gratuito.</w:t>
      </w:r>
    </w:p>
    <w:p w14:paraId="1517057C" w14:textId="77777777" w:rsidR="00FA26D1" w:rsidRPr="00C03E41" w:rsidRDefault="006D0BDF" w:rsidP="00C03E41">
      <w:pPr>
        <w:spacing w:line="233" w:lineRule="auto"/>
        <w:ind w:left="23"/>
        <w:rPr>
          <w:i/>
          <w:iCs/>
          <w:spacing w:val="-2"/>
          <w:szCs w:val="21"/>
        </w:rPr>
      </w:pPr>
      <w:r w:rsidRPr="00C03E41">
        <w:rPr>
          <w:i/>
          <w:iCs/>
          <w:spacing w:val="-2"/>
          <w:szCs w:val="21"/>
          <w:lang w:val="it"/>
        </w:rPr>
        <w:t>Nell’esercizio finanziario 2024-25, il 33% delle controversie è stato risolto grazie a questa assistenza preliminare.</w:t>
      </w:r>
    </w:p>
    <w:p w14:paraId="2F3A24B0" w14:textId="77777777" w:rsidR="00FA26D1" w:rsidRPr="00C03E41" w:rsidRDefault="006D0BDF" w:rsidP="00C03E41">
      <w:pPr>
        <w:numPr>
          <w:ilvl w:val="0"/>
          <w:numId w:val="13"/>
        </w:numPr>
        <w:spacing w:line="233" w:lineRule="auto"/>
        <w:rPr>
          <w:b/>
          <w:bCs/>
          <w:noProof/>
          <w:spacing w:val="-2"/>
          <w:szCs w:val="21"/>
          <w:lang w:val="en-AU"/>
        </w:rPr>
      </w:pPr>
      <w:r w:rsidRPr="00C03E41">
        <w:rPr>
          <w:b/>
          <w:bCs/>
          <w:noProof/>
          <w:spacing w:val="-2"/>
          <w:szCs w:val="21"/>
          <w:lang w:val="it"/>
        </w:rPr>
        <w:t>Mediazione</w:t>
      </w:r>
    </w:p>
    <w:p w14:paraId="649E4814" w14:textId="77777777" w:rsidR="00FA26D1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Se la controversia non viene risolta durante la fase di assistenza preliminare, il DRO può incoraggiare le parti a partecipare alla mediazione.</w:t>
      </w:r>
    </w:p>
    <w:p w14:paraId="274026CC" w14:textId="77777777" w:rsidR="00FA26D1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La mediazione è un incontro riservato tra le parti in causa, facilitato da un mediatore accreditato nominato dalla VSBC. Il mediatore guida le parti nella negoziazione di una soluzione accettabile.</w:t>
      </w:r>
    </w:p>
    <w:p w14:paraId="631D196D" w14:textId="77777777" w:rsidR="008265A1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Le mediazioni si svolgono online tramite videoconferenza.</w:t>
      </w:r>
    </w:p>
    <w:p w14:paraId="6E656913" w14:textId="77777777" w:rsidR="00FA26D1" w:rsidRPr="00C03E41" w:rsidRDefault="006D0BDF" w:rsidP="00C03E41">
      <w:pPr>
        <w:spacing w:line="233" w:lineRule="auto"/>
        <w:ind w:left="23"/>
        <w:rPr>
          <w:i/>
          <w:iCs/>
          <w:spacing w:val="-2"/>
          <w:szCs w:val="21"/>
        </w:rPr>
      </w:pPr>
      <w:r w:rsidRPr="00C03E41">
        <w:rPr>
          <w:i/>
          <w:iCs/>
          <w:spacing w:val="-2"/>
          <w:szCs w:val="21"/>
          <w:lang w:val="it"/>
        </w:rPr>
        <w:t>Nell’esercizio finanziario 2024-25, il 69% delle mediazioni facilitate dalla VSBC ha avuto esito positivo.</w:t>
      </w:r>
    </w:p>
    <w:p w14:paraId="437CEF1E" w14:textId="77777777" w:rsidR="00FA26D1" w:rsidRPr="00C03E41" w:rsidRDefault="006D0BDF" w:rsidP="00C03E41">
      <w:pPr>
        <w:numPr>
          <w:ilvl w:val="0"/>
          <w:numId w:val="13"/>
        </w:numPr>
        <w:spacing w:line="233" w:lineRule="auto"/>
        <w:rPr>
          <w:b/>
          <w:bCs/>
          <w:noProof/>
          <w:spacing w:val="-2"/>
          <w:szCs w:val="21"/>
          <w:lang w:val="en-AU"/>
        </w:rPr>
      </w:pPr>
      <w:r w:rsidRPr="00C03E41">
        <w:rPr>
          <w:b/>
          <w:bCs/>
          <w:noProof/>
          <w:spacing w:val="-2"/>
          <w:szCs w:val="21"/>
          <w:lang w:val="it"/>
        </w:rPr>
        <w:t>Accordo relativo all’esito</w:t>
      </w:r>
    </w:p>
    <w:p w14:paraId="6C1E92C1" w14:textId="77777777" w:rsidR="00C03E41" w:rsidRPr="00C03E41" w:rsidRDefault="006D0BDF" w:rsidP="00C03E41">
      <w:pPr>
        <w:spacing w:line="233" w:lineRule="auto"/>
        <w:ind w:left="23"/>
        <w:rPr>
          <w:rFonts w:asciiTheme="minorHAnsi" w:hAnsiTheme="minorHAnsi" w:cstheme="minorHAnsi"/>
          <w:spacing w:val="-2"/>
          <w:szCs w:val="21"/>
          <w:lang w:val="it"/>
        </w:rPr>
      </w:pPr>
      <w:r w:rsidRPr="00C03E41">
        <w:rPr>
          <w:rFonts w:asciiTheme="minorHAnsi" w:hAnsiTheme="minorHAnsi" w:cstheme="minorHAnsi"/>
          <w:spacing w:val="-2"/>
          <w:szCs w:val="21"/>
          <w:lang w:val="it"/>
        </w:rPr>
        <w:t>Se la mediazione ha esito positivo, entrambe le parti firmeranno un accordo. Si tratta di un documento legale che può essere fatto valere dai tribunali.</w:t>
      </w:r>
    </w:p>
    <w:p w14:paraId="10B724D0" w14:textId="432E8E86" w:rsidR="00FA26D1" w:rsidRPr="00C03E41" w:rsidRDefault="006D0BDF" w:rsidP="00C03E41">
      <w:pPr>
        <w:numPr>
          <w:ilvl w:val="0"/>
          <w:numId w:val="13"/>
        </w:numPr>
        <w:spacing w:line="233" w:lineRule="auto"/>
        <w:rPr>
          <w:b/>
          <w:bCs/>
          <w:noProof/>
          <w:spacing w:val="-2"/>
          <w:szCs w:val="21"/>
          <w:lang w:val="en-AU"/>
        </w:rPr>
      </w:pPr>
      <w:r w:rsidRPr="00C03E41">
        <w:rPr>
          <w:b/>
          <w:bCs/>
          <w:noProof/>
          <w:spacing w:val="-2"/>
          <w:szCs w:val="21"/>
          <w:lang w:val="it"/>
        </w:rPr>
        <w:t>Richiesta di un certificato</w:t>
      </w:r>
    </w:p>
    <w:p w14:paraId="5D0C0B77" w14:textId="77777777" w:rsidR="00534FEF" w:rsidRPr="00C03E41" w:rsidRDefault="006D0BDF" w:rsidP="00C03E41">
      <w:pPr>
        <w:spacing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 xml:space="preserve">Se la mediazione non ha esito positivo, entrambe le parti possono richiedere un certificato alla VSBC, che </w:t>
      </w:r>
      <w:r w:rsidRPr="00C03E41">
        <w:rPr>
          <w:spacing w:val="-2"/>
          <w:szCs w:val="21"/>
          <w:lang w:val="it"/>
        </w:rPr>
        <w:t xml:space="preserve">può essere utilizzato come prova del tentativo fallito di risoluzione della questione. </w:t>
      </w:r>
    </w:p>
    <w:p w14:paraId="3220AE25" w14:textId="77777777" w:rsidR="00CD2FBA" w:rsidRPr="00C03E41" w:rsidRDefault="006D0BDF" w:rsidP="00C03E41">
      <w:pPr>
        <w:pStyle w:val="Heading2"/>
        <w:spacing w:line="233" w:lineRule="auto"/>
        <w:ind w:left="0"/>
        <w:rPr>
          <w:rFonts w:asciiTheme="majorHAnsi" w:hAnsiTheme="majorHAnsi"/>
          <w:b/>
          <w:bCs/>
          <w:caps/>
          <w:spacing w:val="-2"/>
          <w:sz w:val="28"/>
          <w:szCs w:val="28"/>
        </w:rPr>
      </w:pPr>
      <w:r w:rsidRPr="00C03E41">
        <w:rPr>
          <w:rFonts w:asciiTheme="majorHAnsi" w:hAnsiTheme="majorHAnsi"/>
          <w:b/>
          <w:bCs/>
          <w:caps/>
          <w:spacing w:val="-2"/>
          <w:sz w:val="28"/>
          <w:szCs w:val="28"/>
          <w:lang w:val="it"/>
        </w:rPr>
        <w:t>Domande frequenti</w:t>
      </w:r>
    </w:p>
    <w:p w14:paraId="2AC59A15" w14:textId="77777777" w:rsidR="00822D83" w:rsidRPr="00C03E41" w:rsidRDefault="006D0BDF" w:rsidP="00C03E41">
      <w:pPr>
        <w:spacing w:line="233" w:lineRule="auto"/>
        <w:rPr>
          <w:b/>
          <w:bCs/>
          <w:spacing w:val="-2"/>
          <w:szCs w:val="21"/>
        </w:rPr>
      </w:pPr>
      <w:r w:rsidRPr="00C03E41">
        <w:rPr>
          <w:b/>
          <w:bCs/>
          <w:spacing w:val="-2"/>
          <w:szCs w:val="21"/>
          <w:lang w:val="it"/>
        </w:rPr>
        <w:t>Quanto costano i servizi di risoluzione delle controversie della VSBC?</w:t>
      </w:r>
    </w:p>
    <w:p w14:paraId="79B4ECE5" w14:textId="77777777" w:rsidR="00822D83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La VSBC è finanziata dal Governo del Victoria e l’assistenza preliminare è gratuita.</w:t>
      </w:r>
    </w:p>
    <w:p w14:paraId="2CF10228" w14:textId="77777777" w:rsidR="00822D83" w:rsidRPr="00C03E41" w:rsidRDefault="006D0BDF" w:rsidP="00C03E41">
      <w:pPr>
        <w:spacing w:line="233" w:lineRule="auto"/>
        <w:ind w:left="23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Nel maggio 2026, le spese di mediazione a carico di ciascuna parte erano di 300 dollari (GST inclusa) per una sessione di mezza giornata e di 600 dollari (GST inclusa) per una sessione di una giornata intera. Le tariffe sono soggette a modifiche.</w:t>
      </w:r>
    </w:p>
    <w:p w14:paraId="34EC80D7" w14:textId="77777777" w:rsidR="00215B86" w:rsidRPr="00C03E41" w:rsidRDefault="006D0BDF" w:rsidP="00C03E41">
      <w:pPr>
        <w:spacing w:line="233" w:lineRule="auto"/>
        <w:rPr>
          <w:b/>
          <w:bCs/>
          <w:spacing w:val="-2"/>
          <w:szCs w:val="21"/>
        </w:rPr>
      </w:pPr>
      <w:r w:rsidRPr="00C03E41">
        <w:rPr>
          <w:b/>
          <w:bCs/>
          <w:spacing w:val="-2"/>
          <w:szCs w:val="21"/>
          <w:lang w:val="it"/>
        </w:rPr>
        <w:t>L’esito della mediazione è vincolante?</w:t>
      </w:r>
    </w:p>
    <w:p w14:paraId="70177671" w14:textId="77777777" w:rsidR="00215B86" w:rsidRPr="00C03E41" w:rsidRDefault="006D0BDF" w:rsidP="00C03E41">
      <w:pPr>
        <w:spacing w:before="60"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 xml:space="preserve">Quando i termini dell’accordo vengono concordati, firmati e datati, la controversia è risolta e l’accordo diventa vincolante. Se una delle parti non rispetta il proprio impegno, può essere portata in tribunale per far rispettare i termini dell’accordo. </w:t>
      </w:r>
    </w:p>
    <w:tbl>
      <w:tblPr>
        <w:tblStyle w:val="VSBCQuoteBox"/>
        <w:tblW w:w="4701" w:type="dxa"/>
        <w:tblLook w:val="06C0" w:firstRow="0" w:lastRow="1" w:firstColumn="1" w:lastColumn="0" w:noHBand="1" w:noVBand="1"/>
      </w:tblPr>
      <w:tblGrid>
        <w:gridCol w:w="4701"/>
      </w:tblGrid>
      <w:tr w:rsidR="004F1E53" w:rsidRPr="00C03E41" w14:paraId="4F8A2F95" w14:textId="77777777" w:rsidTr="00C03E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8"/>
        </w:trPr>
        <w:tc>
          <w:tcPr>
            <w:tcW w:w="4701" w:type="dxa"/>
            <w:vAlign w:val="center"/>
          </w:tcPr>
          <w:p w14:paraId="4F27D20C" w14:textId="77777777" w:rsidR="00732F31" w:rsidRPr="00C03E41" w:rsidRDefault="006D0BDF" w:rsidP="00C03E41">
            <w:pPr>
              <w:spacing w:line="233" w:lineRule="auto"/>
              <w:rPr>
                <w:bCs/>
                <w:spacing w:val="-2"/>
                <w:sz w:val="24"/>
                <w:szCs w:val="24"/>
              </w:rPr>
            </w:pPr>
            <w:r w:rsidRPr="00C03E41">
              <w:rPr>
                <w:bCs/>
                <w:spacing w:val="-2"/>
                <w:sz w:val="24"/>
                <w:szCs w:val="24"/>
                <w:lang w:val="it"/>
              </w:rPr>
              <w:t>Informazioni per contattare la VSBC</w:t>
            </w:r>
          </w:p>
          <w:p w14:paraId="45B20015" w14:textId="62843A26" w:rsidR="00732F31" w:rsidRPr="00C03E41" w:rsidRDefault="006D0BDF" w:rsidP="00C03E41">
            <w:pPr>
              <w:pStyle w:val="ListParagraph"/>
              <w:numPr>
                <w:ilvl w:val="0"/>
                <w:numId w:val="6"/>
              </w:numPr>
              <w:spacing w:line="233" w:lineRule="auto"/>
              <w:rPr>
                <w:spacing w:val="-2"/>
                <w:szCs w:val="21"/>
                <w:lang w:val="en-AU"/>
              </w:rPr>
            </w:pPr>
            <w:r w:rsidRPr="00C03E41">
              <w:rPr>
                <w:b w:val="0"/>
                <w:spacing w:val="-2"/>
                <w:szCs w:val="21"/>
                <w:lang w:val="it"/>
              </w:rPr>
              <w:t xml:space="preserve">Per informazioni e per presentare una domanda di assistenza, visita il sito </w:t>
            </w:r>
            <w:hyperlink r:id="rId18" w:history="1">
              <w:r w:rsidR="00732F31" w:rsidRPr="00C03E41">
                <w:rPr>
                  <w:rStyle w:val="Hyperlink"/>
                  <w:bCs/>
                  <w:color w:val="0B81C5"/>
                  <w:spacing w:val="-2"/>
                  <w:szCs w:val="21"/>
                  <w:u w:val="none"/>
                  <w:lang w:val="it"/>
                </w:rPr>
                <w:t>vsbc.vic.gov.au</w:t>
              </w:r>
            </w:hyperlink>
          </w:p>
          <w:p w14:paraId="58BA0AC8" w14:textId="77777777" w:rsidR="00732F31" w:rsidRPr="00C03E41" w:rsidRDefault="006D0BDF" w:rsidP="00C03E41">
            <w:pPr>
              <w:pStyle w:val="ListParagraph"/>
              <w:numPr>
                <w:ilvl w:val="0"/>
                <w:numId w:val="6"/>
              </w:numPr>
              <w:spacing w:line="233" w:lineRule="auto"/>
              <w:rPr>
                <w:spacing w:val="-2"/>
                <w:szCs w:val="21"/>
                <w:lang w:val="en-AU"/>
              </w:rPr>
            </w:pPr>
            <w:r w:rsidRPr="00C03E41">
              <w:rPr>
                <w:b w:val="0"/>
                <w:spacing w:val="-2"/>
                <w:szCs w:val="21"/>
                <w:lang w:val="it"/>
              </w:rPr>
              <w:t xml:space="preserve">Per parlare con la VSBC in inglese, chiama il numero </w:t>
            </w:r>
            <w:r w:rsidRPr="00C03E41">
              <w:rPr>
                <w:bCs/>
                <w:spacing w:val="-2"/>
                <w:szCs w:val="21"/>
                <w:lang w:val="it"/>
              </w:rPr>
              <w:t>1800 878 964</w:t>
            </w:r>
            <w:r w:rsidRPr="00C03E41">
              <w:rPr>
                <w:b w:val="0"/>
                <w:spacing w:val="-2"/>
                <w:szCs w:val="21"/>
                <w:lang w:val="it"/>
              </w:rPr>
              <w:t>.</w:t>
            </w:r>
          </w:p>
          <w:p w14:paraId="743C7CBC" w14:textId="77777777" w:rsidR="00732F31" w:rsidRPr="00C03E41" w:rsidRDefault="006D0BDF" w:rsidP="00C03E41">
            <w:pPr>
              <w:pStyle w:val="ListParagraph"/>
              <w:numPr>
                <w:ilvl w:val="0"/>
                <w:numId w:val="6"/>
              </w:numPr>
              <w:spacing w:after="0" w:line="233" w:lineRule="auto"/>
              <w:rPr>
                <w:spacing w:val="-2"/>
                <w:szCs w:val="21"/>
                <w:lang w:val="en-AU"/>
              </w:rPr>
            </w:pPr>
            <w:r w:rsidRPr="00C03E41">
              <w:rPr>
                <w:b w:val="0"/>
                <w:spacing w:val="-2"/>
                <w:szCs w:val="21"/>
                <w:lang w:val="it"/>
              </w:rPr>
              <w:t xml:space="preserve">Per richiedere l’assistenza di un interprete per parlare con la VSBC, chiama il numero </w:t>
            </w:r>
            <w:r w:rsidRPr="00C03E41">
              <w:rPr>
                <w:bCs/>
                <w:spacing w:val="-2"/>
                <w:szCs w:val="21"/>
                <w:lang w:val="it"/>
              </w:rPr>
              <w:t>131 450</w:t>
            </w:r>
            <w:r w:rsidRPr="00C03E41">
              <w:rPr>
                <w:b w:val="0"/>
                <w:spacing w:val="-2"/>
                <w:szCs w:val="21"/>
                <w:lang w:val="it"/>
              </w:rPr>
              <w:t xml:space="preserve">. </w:t>
            </w:r>
          </w:p>
        </w:tc>
      </w:tr>
    </w:tbl>
    <w:p w14:paraId="03504791" w14:textId="741712B0" w:rsidR="0045724D" w:rsidRPr="00C03E41" w:rsidRDefault="006D0BDF" w:rsidP="00C03E41">
      <w:pPr>
        <w:pStyle w:val="Heading2"/>
        <w:spacing w:line="233" w:lineRule="auto"/>
        <w:ind w:left="0"/>
        <w:rPr>
          <w:rFonts w:asciiTheme="majorHAnsi" w:hAnsiTheme="majorHAnsi"/>
          <w:b/>
          <w:bCs/>
          <w:caps/>
          <w:spacing w:val="-2"/>
          <w:sz w:val="28"/>
          <w:szCs w:val="28"/>
        </w:rPr>
      </w:pPr>
      <w:r w:rsidRPr="00C03E41">
        <w:rPr>
          <w:rFonts w:asciiTheme="majorHAnsi" w:hAnsiTheme="majorHAnsi"/>
          <w:b/>
          <w:bCs/>
          <w:caps/>
          <w:spacing w:val="-2"/>
          <w:sz w:val="28"/>
          <w:szCs w:val="28"/>
          <w:lang w:val="it"/>
        </w:rPr>
        <w:t>DI COSA NON SI OCCUPA LA VSBC?</w:t>
      </w:r>
    </w:p>
    <w:p w14:paraId="39D63063" w14:textId="77777777" w:rsidR="007E337E" w:rsidRPr="00C03E41" w:rsidRDefault="006D0BDF" w:rsidP="00C03E41">
      <w:pPr>
        <w:spacing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La VSBC non può fornire consulenza legale, finanziaria o commerciale.</w:t>
      </w:r>
    </w:p>
    <w:p w14:paraId="690B0DF9" w14:textId="2356440B" w:rsidR="00A46150" w:rsidRPr="00C03E41" w:rsidRDefault="006D0BDF" w:rsidP="00C03E41">
      <w:pPr>
        <w:spacing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 xml:space="preserve">Le consulenze di tipo legale devono essere richieste a un avvocato. Il Law Institute of Victoria offre un servizio di consulenza gratuita, accessibile online all’indirizzo </w:t>
      </w:r>
      <w:hyperlink r:id="rId19" w:history="1">
        <w:r w:rsidR="00B47C4B" w:rsidRPr="00C03E41">
          <w:rPr>
            <w:rStyle w:val="Hyperlink"/>
            <w:b/>
            <w:bCs/>
            <w:color w:val="auto"/>
            <w:spacing w:val="-2"/>
            <w:szCs w:val="21"/>
            <w:u w:val="none"/>
            <w:lang w:val="it"/>
          </w:rPr>
          <w:t>liv.asn.au/referral</w:t>
        </w:r>
      </w:hyperlink>
    </w:p>
    <w:p w14:paraId="6823E94A" w14:textId="1416A6C4" w:rsidR="00B47C4B" w:rsidRPr="00C03E41" w:rsidRDefault="006D0BDF" w:rsidP="00C03E41">
      <w:pPr>
        <w:spacing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 xml:space="preserve">È possibile accedere a informazioni e orientamento commerciale visitando il sito </w:t>
      </w:r>
      <w:hyperlink r:id="rId20" w:history="1">
        <w:r w:rsidR="00B47C4B" w:rsidRPr="00C03E41">
          <w:rPr>
            <w:rStyle w:val="Hyperlink"/>
            <w:b/>
            <w:bCs/>
            <w:color w:val="auto"/>
            <w:spacing w:val="-2"/>
            <w:szCs w:val="21"/>
            <w:u w:val="none"/>
            <w:lang w:val="it"/>
          </w:rPr>
          <w:t>business.vic.gov.au</w:t>
        </w:r>
      </w:hyperlink>
      <w:r w:rsidRPr="00C03E41">
        <w:rPr>
          <w:spacing w:val="-2"/>
          <w:szCs w:val="21"/>
          <w:lang w:val="it"/>
        </w:rPr>
        <w:t xml:space="preserve"> o chiamando il numero 13 22 15.</w:t>
      </w:r>
    </w:p>
    <w:p w14:paraId="44B9A1EF" w14:textId="3C1573CD" w:rsidR="00382127" w:rsidRPr="00C03E41" w:rsidRDefault="00E1483F" w:rsidP="00C03E41">
      <w:pPr>
        <w:spacing w:before="60" w:after="60"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 xml:space="preserve">La VSBC non prende posizione nelle controversie </w:t>
      </w:r>
      <w:r w:rsidRPr="00C03E41">
        <w:rPr>
          <w:spacing w:val="-2"/>
          <w:szCs w:val="21"/>
          <w:lang w:val="it"/>
        </w:rPr>
        <w:br/>
        <w:t>(è imparziale).</w:t>
      </w:r>
    </w:p>
    <w:p w14:paraId="208636CD" w14:textId="77777777" w:rsidR="00385055" w:rsidRPr="00C03E41" w:rsidRDefault="006D0BDF" w:rsidP="00C03E41">
      <w:pPr>
        <w:spacing w:before="60" w:after="60"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>La VSBC non emette sentenze né decisioni sulle controversie, ma guida le parti a negoziare una soluzione accettabile per tutti.</w:t>
      </w:r>
    </w:p>
    <w:p w14:paraId="57F11C4E" w14:textId="77777777" w:rsidR="00826C6B" w:rsidRPr="00C03E41" w:rsidRDefault="006D0BDF" w:rsidP="00C03E41">
      <w:pPr>
        <w:spacing w:before="60" w:after="60" w:line="233" w:lineRule="auto"/>
        <w:rPr>
          <w:spacing w:val="-2"/>
          <w:szCs w:val="21"/>
        </w:rPr>
      </w:pPr>
      <w:r w:rsidRPr="00C03E41">
        <w:rPr>
          <w:spacing w:val="-2"/>
          <w:szCs w:val="21"/>
          <w:lang w:val="it"/>
        </w:rPr>
        <w:t xml:space="preserve">La VSBC non gestisce reclami o controversie dei consumatori (privati). Tali questioni rientrano nella competenza di Consumer Affairs Victoria. </w:t>
      </w:r>
    </w:p>
    <w:sectPr w:rsidR="00826C6B" w:rsidRPr="00C03E41" w:rsidSect="00B134E2">
      <w:type w:val="continuous"/>
      <w:pgSz w:w="11910" w:h="16840"/>
      <w:pgMar w:top="1661" w:right="737" w:bottom="1361" w:left="737" w:header="624" w:footer="567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F327" w14:textId="77777777" w:rsidR="006D0BDF" w:rsidRDefault="006D0BDF" w:rsidP="00C030FD">
      <w:pPr>
        <w:spacing w:before="0" w:after="0" w:line="240" w:lineRule="auto"/>
      </w:pPr>
      <w:r>
        <w:separator/>
      </w:r>
    </w:p>
  </w:endnote>
  <w:endnote w:type="continuationSeparator" w:id="0">
    <w:p w14:paraId="200CA615" w14:textId="77777777" w:rsidR="006D0BDF" w:rsidRDefault="006D0BDF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54AF" w14:textId="77777777" w:rsidR="008D62A2" w:rsidRDefault="008D6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1D0" w14:textId="77777777" w:rsidR="006B5ACF" w:rsidRPr="00864EBA" w:rsidRDefault="006D0BDF" w:rsidP="009E2F84">
    <w:pPr>
      <w:pStyle w:val="Footer"/>
      <w:rPr>
        <w:szCs w:val="16"/>
      </w:rPr>
    </w:pPr>
    <w:r w:rsidRPr="00864EBA">
      <w:rPr>
        <w:szCs w:val="16"/>
        <w:vertAlign w:val="superscript"/>
        <w:lang w:val="it"/>
      </w:rPr>
      <w:t>©</w:t>
    </w:r>
    <w:r w:rsidRPr="00864EBA">
      <w:rPr>
        <w:szCs w:val="16"/>
        <w:lang w:val="it"/>
      </w:rPr>
      <w:t xml:space="preserve"> </w:t>
    </w:r>
    <w:r w:rsidRPr="00864EBA">
      <w:rPr>
        <w:szCs w:val="16"/>
        <w:lang w:val="it"/>
      </w:rPr>
      <w:t>Victorian Small Business Commission. Le informazioni contenute in questo opuscolo sono aggiornate a maggio 2026.</w:t>
    </w:r>
    <w:r>
      <w:ptab w:relativeTo="margin" w:alignment="right" w:leader="none"/>
    </w:r>
    <w:r w:rsidRPr="00864EBA">
      <w:rPr>
        <w:szCs w:val="16"/>
        <w:lang w:val="it"/>
      </w:rPr>
      <w:t xml:space="preserve"> </w:t>
    </w:r>
    <w:sdt>
      <w:sdtPr>
        <w:rPr>
          <w:szCs w:val="16"/>
          <w:lang w:val="it"/>
        </w:rPr>
        <w:id w:val="13867278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864EBA">
          <w:rPr>
            <w:szCs w:val="16"/>
          </w:rPr>
          <w:fldChar w:fldCharType="begin"/>
        </w:r>
        <w:r w:rsidR="009E2F84" w:rsidRPr="00864EBA">
          <w:rPr>
            <w:szCs w:val="16"/>
            <w:lang w:val="it"/>
          </w:rPr>
          <w:instrText xml:space="preserve"> PAGE   \* MERGEFORMAT </w:instrText>
        </w:r>
        <w:r w:rsidR="009E2F84" w:rsidRPr="00864EBA">
          <w:rPr>
            <w:szCs w:val="16"/>
          </w:rPr>
          <w:fldChar w:fldCharType="separate"/>
        </w:r>
        <w:r w:rsidR="009E2F84" w:rsidRPr="00864EBA">
          <w:rPr>
            <w:szCs w:val="16"/>
            <w:lang w:val="it"/>
          </w:rPr>
          <w:t>3</w:t>
        </w:r>
        <w:r w:rsidR="009E2F84" w:rsidRPr="00864EBA">
          <w:rPr>
            <w:noProof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D6D6" w14:textId="77777777" w:rsidR="00C030FD" w:rsidRPr="00864EBA" w:rsidRDefault="006D0BDF" w:rsidP="006B5ACF">
    <w:pPr>
      <w:pStyle w:val="Footer"/>
      <w:rPr>
        <w:szCs w:val="16"/>
      </w:rPr>
    </w:pPr>
    <w:r w:rsidRPr="00864EBA">
      <w:rPr>
        <w:szCs w:val="16"/>
        <w:vertAlign w:val="superscript"/>
        <w:lang w:val="it"/>
      </w:rPr>
      <w:t>©</w:t>
    </w:r>
    <w:r w:rsidRPr="00864EBA">
      <w:rPr>
        <w:szCs w:val="16"/>
        <w:lang w:val="it"/>
      </w:rPr>
      <w:t xml:space="preserve"> Victorian </w:t>
    </w:r>
    <w:r w:rsidRPr="00864EBA">
      <w:rPr>
        <w:szCs w:val="16"/>
        <w:lang w:val="it"/>
      </w:rPr>
      <w:t>Small Business Commission. Le informazioni contenute in questo opuscolo sono aggiornate a maggio 2026.</w:t>
    </w:r>
    <w:r w:rsidRPr="00864EBA">
      <w:rPr>
        <w:szCs w:val="16"/>
        <w:lang w:val="it"/>
      </w:rPr>
      <w:tab/>
    </w:r>
    <w:r>
      <w:ptab w:relativeTo="margin" w:alignment="right" w:leader="none"/>
    </w:r>
    <w:r w:rsidRPr="00864EBA">
      <w:rPr>
        <w:szCs w:val="16"/>
        <w:lang w:val="it"/>
      </w:rPr>
      <w:t xml:space="preserve"> </w:t>
    </w:r>
    <w:sdt>
      <w:sdtPr>
        <w:rPr>
          <w:szCs w:val="16"/>
          <w:lang w:val="it"/>
        </w:rPr>
        <w:id w:val="18791099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864EBA">
          <w:rPr>
            <w:szCs w:val="16"/>
          </w:rPr>
          <w:fldChar w:fldCharType="begin"/>
        </w:r>
        <w:r w:rsidR="006B5ACF" w:rsidRPr="00864EBA">
          <w:rPr>
            <w:szCs w:val="16"/>
            <w:lang w:val="it"/>
          </w:rPr>
          <w:instrText xml:space="preserve"> PAGE   \* MERGEFORMAT </w:instrText>
        </w:r>
        <w:r w:rsidR="006B5ACF" w:rsidRPr="00864EBA">
          <w:rPr>
            <w:szCs w:val="16"/>
          </w:rPr>
          <w:fldChar w:fldCharType="separate"/>
        </w:r>
        <w:r w:rsidR="006B5ACF" w:rsidRPr="00864EBA">
          <w:rPr>
            <w:szCs w:val="16"/>
            <w:lang w:val="it"/>
          </w:rPr>
          <w:t>1</w:t>
        </w:r>
        <w:r w:rsidR="006B5ACF" w:rsidRPr="00864EBA">
          <w:rPr>
            <w:noProof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EAFE" w14:textId="77777777" w:rsidR="006D0BDF" w:rsidRDefault="006D0BDF" w:rsidP="00C030FD">
      <w:pPr>
        <w:spacing w:before="0" w:after="0" w:line="240" w:lineRule="auto"/>
      </w:pPr>
      <w:r>
        <w:separator/>
      </w:r>
    </w:p>
  </w:footnote>
  <w:footnote w:type="continuationSeparator" w:id="0">
    <w:p w14:paraId="6B316BC8" w14:textId="77777777" w:rsidR="006D0BDF" w:rsidRDefault="006D0BDF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3F00" w14:textId="77777777" w:rsidR="008D62A2" w:rsidRDefault="008D6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3702" w14:textId="2E87A022" w:rsidR="00180ABF" w:rsidRPr="00864EBA" w:rsidRDefault="00180ABF" w:rsidP="00346563">
    <w:pPr>
      <w:pStyle w:val="Header"/>
      <w:jc w:val="right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3057" w14:textId="77777777" w:rsidR="006A3840" w:rsidRPr="00864EBA" w:rsidRDefault="006D0BDF" w:rsidP="006A3840">
    <w:pPr>
      <w:pStyle w:val="Heading1"/>
      <w:rPr>
        <w:bCs/>
        <w:sz w:val="32"/>
        <w:szCs w:val="32"/>
      </w:rPr>
    </w:pPr>
    <w:r w:rsidRPr="00864EBA">
      <w:rPr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47A4F1A" wp14:editId="433994AD">
          <wp:simplePos x="0" y="0"/>
          <wp:positionH relativeFrom="column">
            <wp:posOffset>5208905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4EBA">
      <w:rPr>
        <w:bCs/>
        <w:sz w:val="32"/>
        <w:szCs w:val="32"/>
        <w:lang w:val="it"/>
      </w:rPr>
      <w:t>RISOLUZIONE DELLE CONTROVERSIE PER LE PICCOLE IMPRESE</w:t>
    </w:r>
  </w:p>
  <w:p w14:paraId="7F2B4139" w14:textId="77777777" w:rsidR="00C030FD" w:rsidRPr="00864EBA" w:rsidRDefault="006D0BDF" w:rsidP="006A3840">
    <w:pPr>
      <w:pStyle w:val="Heading1"/>
      <w:rPr>
        <w:rFonts w:cs="Arial Bold"/>
        <w:bCs/>
        <w:caps w:val="0"/>
        <w:sz w:val="22"/>
      </w:rPr>
    </w:pPr>
    <w:r w:rsidRPr="00864EBA">
      <w:rPr>
        <w:rFonts w:cs="Arial Bold"/>
        <w:bCs/>
        <w:caps w:val="0"/>
        <w:sz w:val="22"/>
        <w:lang w:val="it"/>
      </w:rPr>
      <w:t>Italian | Italiano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D64A5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2B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6C0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EB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69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8E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2B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9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86E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F93E8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4A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65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CB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46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4D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83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2F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323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1B4A4AA8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color w:val="0081C6"/>
      </w:rPr>
    </w:lvl>
    <w:lvl w:ilvl="1" w:tplc="62BA04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E079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E2F3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6C59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82D4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6866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8A8F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E007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CA20D33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73089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40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C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C1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EA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AE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4C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4B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B59"/>
    <w:multiLevelType w:val="hybridMultilevel"/>
    <w:tmpl w:val="643CDDA6"/>
    <w:lvl w:ilvl="0" w:tplc="7DB4E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709C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4218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6E24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6C89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AF9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083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1A4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C63D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31AAF"/>
    <w:multiLevelType w:val="hybridMultilevel"/>
    <w:tmpl w:val="84D2CBA0"/>
    <w:lvl w:ilvl="0" w:tplc="178A7D2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41B41414" w:tentative="1">
      <w:start w:val="1"/>
      <w:numFmt w:val="lowerLetter"/>
      <w:lvlText w:val="%2."/>
      <w:lvlJc w:val="left"/>
      <w:pPr>
        <w:ind w:left="1103" w:hanging="360"/>
      </w:pPr>
    </w:lvl>
    <w:lvl w:ilvl="2" w:tplc="8C88B786" w:tentative="1">
      <w:start w:val="1"/>
      <w:numFmt w:val="lowerRoman"/>
      <w:lvlText w:val="%3."/>
      <w:lvlJc w:val="right"/>
      <w:pPr>
        <w:ind w:left="1823" w:hanging="180"/>
      </w:pPr>
    </w:lvl>
    <w:lvl w:ilvl="3" w:tplc="0652CC40" w:tentative="1">
      <w:start w:val="1"/>
      <w:numFmt w:val="decimal"/>
      <w:lvlText w:val="%4."/>
      <w:lvlJc w:val="left"/>
      <w:pPr>
        <w:ind w:left="2543" w:hanging="360"/>
      </w:pPr>
    </w:lvl>
    <w:lvl w:ilvl="4" w:tplc="2B245A06" w:tentative="1">
      <w:start w:val="1"/>
      <w:numFmt w:val="lowerLetter"/>
      <w:lvlText w:val="%5."/>
      <w:lvlJc w:val="left"/>
      <w:pPr>
        <w:ind w:left="3263" w:hanging="360"/>
      </w:pPr>
    </w:lvl>
    <w:lvl w:ilvl="5" w:tplc="F500A718" w:tentative="1">
      <w:start w:val="1"/>
      <w:numFmt w:val="lowerRoman"/>
      <w:lvlText w:val="%6."/>
      <w:lvlJc w:val="right"/>
      <w:pPr>
        <w:ind w:left="3983" w:hanging="180"/>
      </w:pPr>
    </w:lvl>
    <w:lvl w:ilvl="6" w:tplc="CB30878C" w:tentative="1">
      <w:start w:val="1"/>
      <w:numFmt w:val="decimal"/>
      <w:lvlText w:val="%7."/>
      <w:lvlJc w:val="left"/>
      <w:pPr>
        <w:ind w:left="4703" w:hanging="360"/>
      </w:pPr>
    </w:lvl>
    <w:lvl w:ilvl="7" w:tplc="840644AC" w:tentative="1">
      <w:start w:val="1"/>
      <w:numFmt w:val="lowerLetter"/>
      <w:lvlText w:val="%8."/>
      <w:lvlJc w:val="left"/>
      <w:pPr>
        <w:ind w:left="5423" w:hanging="360"/>
      </w:pPr>
    </w:lvl>
    <w:lvl w:ilvl="8" w:tplc="CBB21CC4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C8E1D18"/>
    <w:multiLevelType w:val="hybridMultilevel"/>
    <w:tmpl w:val="C79C2684"/>
    <w:lvl w:ilvl="0" w:tplc="57664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E6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42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4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6F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E6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A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F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EF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23E4F"/>
    <w:multiLevelType w:val="hybridMultilevel"/>
    <w:tmpl w:val="463832D6"/>
    <w:lvl w:ilvl="0" w:tplc="83CE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4E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E4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6B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23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2D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6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8A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962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4D49"/>
    <w:multiLevelType w:val="hybridMultilevel"/>
    <w:tmpl w:val="4C6E6614"/>
    <w:lvl w:ilvl="0" w:tplc="91446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E3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65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9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8A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AD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C5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0C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00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37EF"/>
    <w:multiLevelType w:val="hybridMultilevel"/>
    <w:tmpl w:val="B60A51FC"/>
    <w:lvl w:ilvl="0" w:tplc="7E4249B6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580AE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8A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65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21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4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EF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6C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483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C722C"/>
    <w:multiLevelType w:val="hybridMultilevel"/>
    <w:tmpl w:val="9732EBF8"/>
    <w:lvl w:ilvl="0" w:tplc="EAF6A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83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CA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41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5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B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4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0D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24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2A19"/>
    <w:multiLevelType w:val="hybridMultilevel"/>
    <w:tmpl w:val="5234130A"/>
    <w:lvl w:ilvl="0" w:tplc="ECF8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80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2C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A7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F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0E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0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03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A8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2A9"/>
    <w:multiLevelType w:val="hybridMultilevel"/>
    <w:tmpl w:val="FA622698"/>
    <w:lvl w:ilvl="0" w:tplc="F5402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4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E1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0B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01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66B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C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C5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65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1A80"/>
    <w:multiLevelType w:val="hybridMultilevel"/>
    <w:tmpl w:val="B23AD3FA"/>
    <w:lvl w:ilvl="0" w:tplc="B074E6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3D988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01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7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C8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08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26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AB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CA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9"/>
  </w:num>
  <w:num w:numId="2" w16cid:durableId="444354322">
    <w:abstractNumId w:val="12"/>
  </w:num>
  <w:num w:numId="3" w16cid:durableId="13191416">
    <w:abstractNumId w:val="7"/>
  </w:num>
  <w:num w:numId="4" w16cid:durableId="895551910">
    <w:abstractNumId w:val="11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3"/>
  </w:num>
  <w:num w:numId="8" w16cid:durableId="940724531">
    <w:abstractNumId w:val="10"/>
  </w:num>
  <w:num w:numId="9" w16cid:durableId="979185603">
    <w:abstractNumId w:val="6"/>
  </w:num>
  <w:num w:numId="10" w16cid:durableId="1911037082">
    <w:abstractNumId w:val="8"/>
  </w:num>
  <w:num w:numId="11" w16cid:durableId="1767268068">
    <w:abstractNumId w:val="0"/>
  </w:num>
  <w:num w:numId="12" w16cid:durableId="1063988955">
    <w:abstractNumId w:val="1"/>
  </w:num>
  <w:num w:numId="13" w16cid:durableId="669061257">
    <w:abstractNumId w:val="5"/>
  </w:num>
  <w:num w:numId="14" w16cid:durableId="128346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fCBpMN83/8cImCepHsIskRykZk5/mY3a4QjlrLHKfjmKMFXZwEY69/flvuaV0GXE1KvMGx0owAT+S1kU98WGQ==" w:salt="QPfRrVfL/zdH7jBYpi4HSg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02CC"/>
    <w:rsid w:val="00002579"/>
    <w:rsid w:val="00003DF6"/>
    <w:rsid w:val="000063CB"/>
    <w:rsid w:val="000065EF"/>
    <w:rsid w:val="0001046A"/>
    <w:rsid w:val="000113AC"/>
    <w:rsid w:val="00020025"/>
    <w:rsid w:val="00036620"/>
    <w:rsid w:val="00040959"/>
    <w:rsid w:val="000446E5"/>
    <w:rsid w:val="00044B83"/>
    <w:rsid w:val="000467F1"/>
    <w:rsid w:val="00047199"/>
    <w:rsid w:val="000601B2"/>
    <w:rsid w:val="00065F07"/>
    <w:rsid w:val="00066451"/>
    <w:rsid w:val="00070B23"/>
    <w:rsid w:val="00072000"/>
    <w:rsid w:val="00073E32"/>
    <w:rsid w:val="00073FBD"/>
    <w:rsid w:val="00075311"/>
    <w:rsid w:val="00083AFC"/>
    <w:rsid w:val="00086004"/>
    <w:rsid w:val="000915A1"/>
    <w:rsid w:val="00093CF0"/>
    <w:rsid w:val="00095AE4"/>
    <w:rsid w:val="000A2B49"/>
    <w:rsid w:val="000A2E90"/>
    <w:rsid w:val="000A6B1E"/>
    <w:rsid w:val="000A7138"/>
    <w:rsid w:val="000B2D1F"/>
    <w:rsid w:val="000B5072"/>
    <w:rsid w:val="000B5545"/>
    <w:rsid w:val="000C3263"/>
    <w:rsid w:val="000D2E74"/>
    <w:rsid w:val="000D3C91"/>
    <w:rsid w:val="000D5EC7"/>
    <w:rsid w:val="000E0B56"/>
    <w:rsid w:val="000E47FE"/>
    <w:rsid w:val="000F30F0"/>
    <w:rsid w:val="000F4FDB"/>
    <w:rsid w:val="000F7888"/>
    <w:rsid w:val="00106A32"/>
    <w:rsid w:val="001240C0"/>
    <w:rsid w:val="0012704D"/>
    <w:rsid w:val="00131E7A"/>
    <w:rsid w:val="001369CF"/>
    <w:rsid w:val="00144E8A"/>
    <w:rsid w:val="00152EC4"/>
    <w:rsid w:val="0015679D"/>
    <w:rsid w:val="00156EA6"/>
    <w:rsid w:val="00161057"/>
    <w:rsid w:val="00166F39"/>
    <w:rsid w:val="0017417E"/>
    <w:rsid w:val="001753BB"/>
    <w:rsid w:val="00180ABF"/>
    <w:rsid w:val="00182821"/>
    <w:rsid w:val="001853D6"/>
    <w:rsid w:val="00191A29"/>
    <w:rsid w:val="0019769D"/>
    <w:rsid w:val="001A1905"/>
    <w:rsid w:val="001A1C3E"/>
    <w:rsid w:val="001A280B"/>
    <w:rsid w:val="001A29B1"/>
    <w:rsid w:val="001A725B"/>
    <w:rsid w:val="001B0A53"/>
    <w:rsid w:val="001C447C"/>
    <w:rsid w:val="001C6C56"/>
    <w:rsid w:val="001C7FA0"/>
    <w:rsid w:val="001D02C3"/>
    <w:rsid w:val="001D1DFF"/>
    <w:rsid w:val="001D439B"/>
    <w:rsid w:val="001D6174"/>
    <w:rsid w:val="001E1BF2"/>
    <w:rsid w:val="001E2BFC"/>
    <w:rsid w:val="001E5A17"/>
    <w:rsid w:val="001E5DDC"/>
    <w:rsid w:val="001F66F5"/>
    <w:rsid w:val="00211176"/>
    <w:rsid w:val="0021218B"/>
    <w:rsid w:val="00215B86"/>
    <w:rsid w:val="00215E87"/>
    <w:rsid w:val="002172B9"/>
    <w:rsid w:val="00226778"/>
    <w:rsid w:val="00236DDA"/>
    <w:rsid w:val="00236F74"/>
    <w:rsid w:val="002403A5"/>
    <w:rsid w:val="00240439"/>
    <w:rsid w:val="00244FEF"/>
    <w:rsid w:val="00252AAE"/>
    <w:rsid w:val="002716EB"/>
    <w:rsid w:val="00271A57"/>
    <w:rsid w:val="002760EC"/>
    <w:rsid w:val="002854FD"/>
    <w:rsid w:val="002A2CCF"/>
    <w:rsid w:val="002B153A"/>
    <w:rsid w:val="002C0D9D"/>
    <w:rsid w:val="002C304F"/>
    <w:rsid w:val="002C790E"/>
    <w:rsid w:val="002D17F4"/>
    <w:rsid w:val="002D386E"/>
    <w:rsid w:val="002E07DD"/>
    <w:rsid w:val="002E11E0"/>
    <w:rsid w:val="00306A2B"/>
    <w:rsid w:val="00313278"/>
    <w:rsid w:val="00316460"/>
    <w:rsid w:val="003227A3"/>
    <w:rsid w:val="00322E03"/>
    <w:rsid w:val="003313E6"/>
    <w:rsid w:val="00332D62"/>
    <w:rsid w:val="003454CB"/>
    <w:rsid w:val="00346563"/>
    <w:rsid w:val="00352CFD"/>
    <w:rsid w:val="003548B5"/>
    <w:rsid w:val="0035680A"/>
    <w:rsid w:val="00373737"/>
    <w:rsid w:val="00377A65"/>
    <w:rsid w:val="00382127"/>
    <w:rsid w:val="00385055"/>
    <w:rsid w:val="00385602"/>
    <w:rsid w:val="00386FCF"/>
    <w:rsid w:val="00390771"/>
    <w:rsid w:val="003A091C"/>
    <w:rsid w:val="003A79B9"/>
    <w:rsid w:val="003D1F59"/>
    <w:rsid w:val="003D2E5A"/>
    <w:rsid w:val="003E32EF"/>
    <w:rsid w:val="00405E19"/>
    <w:rsid w:val="00406C13"/>
    <w:rsid w:val="00427141"/>
    <w:rsid w:val="00440F3F"/>
    <w:rsid w:val="00441F77"/>
    <w:rsid w:val="0045724D"/>
    <w:rsid w:val="00462676"/>
    <w:rsid w:val="0046613B"/>
    <w:rsid w:val="00472969"/>
    <w:rsid w:val="0048072F"/>
    <w:rsid w:val="00480FFF"/>
    <w:rsid w:val="00486F3D"/>
    <w:rsid w:val="00493523"/>
    <w:rsid w:val="0049555E"/>
    <w:rsid w:val="004A1220"/>
    <w:rsid w:val="004B5956"/>
    <w:rsid w:val="004B79B8"/>
    <w:rsid w:val="004C383B"/>
    <w:rsid w:val="004D07B8"/>
    <w:rsid w:val="004D1200"/>
    <w:rsid w:val="004E0683"/>
    <w:rsid w:val="004E13DE"/>
    <w:rsid w:val="004E7CAC"/>
    <w:rsid w:val="004F1E53"/>
    <w:rsid w:val="004F1E8A"/>
    <w:rsid w:val="004F209D"/>
    <w:rsid w:val="004F3ADC"/>
    <w:rsid w:val="005113C4"/>
    <w:rsid w:val="005204B1"/>
    <w:rsid w:val="00533DBB"/>
    <w:rsid w:val="00534FEF"/>
    <w:rsid w:val="0054701D"/>
    <w:rsid w:val="00547061"/>
    <w:rsid w:val="00550475"/>
    <w:rsid w:val="00560C17"/>
    <w:rsid w:val="00563DD5"/>
    <w:rsid w:val="005657E0"/>
    <w:rsid w:val="0057292B"/>
    <w:rsid w:val="00580148"/>
    <w:rsid w:val="0058033D"/>
    <w:rsid w:val="00590D17"/>
    <w:rsid w:val="0059520D"/>
    <w:rsid w:val="0059550C"/>
    <w:rsid w:val="005A1941"/>
    <w:rsid w:val="005A1FFA"/>
    <w:rsid w:val="005B0383"/>
    <w:rsid w:val="005B0427"/>
    <w:rsid w:val="005B47B9"/>
    <w:rsid w:val="005B5DCC"/>
    <w:rsid w:val="005C2174"/>
    <w:rsid w:val="005C3461"/>
    <w:rsid w:val="005C3A09"/>
    <w:rsid w:val="005C5C15"/>
    <w:rsid w:val="005D122D"/>
    <w:rsid w:val="005D538F"/>
    <w:rsid w:val="005E168D"/>
    <w:rsid w:val="005E2F6C"/>
    <w:rsid w:val="005E49DF"/>
    <w:rsid w:val="005E7913"/>
    <w:rsid w:val="005E797B"/>
    <w:rsid w:val="0060134E"/>
    <w:rsid w:val="00601E58"/>
    <w:rsid w:val="00602998"/>
    <w:rsid w:val="0060344A"/>
    <w:rsid w:val="00607655"/>
    <w:rsid w:val="00612A28"/>
    <w:rsid w:val="00620643"/>
    <w:rsid w:val="006234FD"/>
    <w:rsid w:val="00623FFE"/>
    <w:rsid w:val="00630582"/>
    <w:rsid w:val="00632C33"/>
    <w:rsid w:val="006416A5"/>
    <w:rsid w:val="0065198D"/>
    <w:rsid w:val="00651F6D"/>
    <w:rsid w:val="0065254C"/>
    <w:rsid w:val="00662C91"/>
    <w:rsid w:val="00671E8E"/>
    <w:rsid w:val="006757AC"/>
    <w:rsid w:val="00680A8E"/>
    <w:rsid w:val="00685D0C"/>
    <w:rsid w:val="0069208A"/>
    <w:rsid w:val="00695D5B"/>
    <w:rsid w:val="006A257C"/>
    <w:rsid w:val="006A3840"/>
    <w:rsid w:val="006B3B04"/>
    <w:rsid w:val="006B3D47"/>
    <w:rsid w:val="006B50CA"/>
    <w:rsid w:val="006B57D2"/>
    <w:rsid w:val="006B5ACF"/>
    <w:rsid w:val="006B5FF5"/>
    <w:rsid w:val="006C058B"/>
    <w:rsid w:val="006C50C0"/>
    <w:rsid w:val="006C5DC8"/>
    <w:rsid w:val="006D0BDF"/>
    <w:rsid w:val="006D19F7"/>
    <w:rsid w:val="006E21F5"/>
    <w:rsid w:val="006E60DD"/>
    <w:rsid w:val="006F370B"/>
    <w:rsid w:val="006F7AD8"/>
    <w:rsid w:val="00704ABC"/>
    <w:rsid w:val="007057E7"/>
    <w:rsid w:val="00710E75"/>
    <w:rsid w:val="0071306E"/>
    <w:rsid w:val="00721663"/>
    <w:rsid w:val="00731C65"/>
    <w:rsid w:val="0073205C"/>
    <w:rsid w:val="00732F31"/>
    <w:rsid w:val="0074673D"/>
    <w:rsid w:val="0074769C"/>
    <w:rsid w:val="00751301"/>
    <w:rsid w:val="00751463"/>
    <w:rsid w:val="00751B5E"/>
    <w:rsid w:val="00753943"/>
    <w:rsid w:val="007545F6"/>
    <w:rsid w:val="0076431D"/>
    <w:rsid w:val="00764C6D"/>
    <w:rsid w:val="00772FF6"/>
    <w:rsid w:val="0077323C"/>
    <w:rsid w:val="007956D9"/>
    <w:rsid w:val="00797C91"/>
    <w:rsid w:val="007A334B"/>
    <w:rsid w:val="007B295C"/>
    <w:rsid w:val="007C0FDC"/>
    <w:rsid w:val="007C1A36"/>
    <w:rsid w:val="007C1CD3"/>
    <w:rsid w:val="007C3F3C"/>
    <w:rsid w:val="007C5293"/>
    <w:rsid w:val="007D3A88"/>
    <w:rsid w:val="007D52AA"/>
    <w:rsid w:val="007D67ED"/>
    <w:rsid w:val="007E17C6"/>
    <w:rsid w:val="007E1ADD"/>
    <w:rsid w:val="007E337E"/>
    <w:rsid w:val="007E3E1D"/>
    <w:rsid w:val="007E6535"/>
    <w:rsid w:val="007F5352"/>
    <w:rsid w:val="007F78A7"/>
    <w:rsid w:val="008003A6"/>
    <w:rsid w:val="0080435F"/>
    <w:rsid w:val="00810645"/>
    <w:rsid w:val="00822506"/>
    <w:rsid w:val="00822D83"/>
    <w:rsid w:val="00825152"/>
    <w:rsid w:val="00826191"/>
    <w:rsid w:val="008265A1"/>
    <w:rsid w:val="00826C6B"/>
    <w:rsid w:val="00833124"/>
    <w:rsid w:val="008335D3"/>
    <w:rsid w:val="00835376"/>
    <w:rsid w:val="00842830"/>
    <w:rsid w:val="00844E14"/>
    <w:rsid w:val="008458C4"/>
    <w:rsid w:val="00851639"/>
    <w:rsid w:val="00855356"/>
    <w:rsid w:val="008571A6"/>
    <w:rsid w:val="00857AC6"/>
    <w:rsid w:val="00864EBA"/>
    <w:rsid w:val="00876766"/>
    <w:rsid w:val="00880BDA"/>
    <w:rsid w:val="00884E26"/>
    <w:rsid w:val="008921BB"/>
    <w:rsid w:val="00894953"/>
    <w:rsid w:val="008A023A"/>
    <w:rsid w:val="008A0504"/>
    <w:rsid w:val="008A3B8D"/>
    <w:rsid w:val="008B180C"/>
    <w:rsid w:val="008C18BA"/>
    <w:rsid w:val="008C3171"/>
    <w:rsid w:val="008D2899"/>
    <w:rsid w:val="008D4CEB"/>
    <w:rsid w:val="008D62A2"/>
    <w:rsid w:val="008E2550"/>
    <w:rsid w:val="008E319E"/>
    <w:rsid w:val="008F5031"/>
    <w:rsid w:val="009062BF"/>
    <w:rsid w:val="00910C5E"/>
    <w:rsid w:val="009262AD"/>
    <w:rsid w:val="00930D0B"/>
    <w:rsid w:val="0093120F"/>
    <w:rsid w:val="00933630"/>
    <w:rsid w:val="00941A24"/>
    <w:rsid w:val="009436F2"/>
    <w:rsid w:val="009466AE"/>
    <w:rsid w:val="00947779"/>
    <w:rsid w:val="009540DC"/>
    <w:rsid w:val="009561FE"/>
    <w:rsid w:val="00972ECB"/>
    <w:rsid w:val="0097649B"/>
    <w:rsid w:val="00991FFC"/>
    <w:rsid w:val="00995094"/>
    <w:rsid w:val="009B0948"/>
    <w:rsid w:val="009B4A18"/>
    <w:rsid w:val="009B5DAE"/>
    <w:rsid w:val="009B7C9C"/>
    <w:rsid w:val="009C08BB"/>
    <w:rsid w:val="009C0DDE"/>
    <w:rsid w:val="009C121B"/>
    <w:rsid w:val="009C13A2"/>
    <w:rsid w:val="009D2EF0"/>
    <w:rsid w:val="009D3A96"/>
    <w:rsid w:val="009D5361"/>
    <w:rsid w:val="009D53ED"/>
    <w:rsid w:val="009D5C53"/>
    <w:rsid w:val="009E2F84"/>
    <w:rsid w:val="009E5D61"/>
    <w:rsid w:val="009F1027"/>
    <w:rsid w:val="009F28D6"/>
    <w:rsid w:val="009F6E9D"/>
    <w:rsid w:val="00A30630"/>
    <w:rsid w:val="00A37DC4"/>
    <w:rsid w:val="00A407B7"/>
    <w:rsid w:val="00A46150"/>
    <w:rsid w:val="00A52EA9"/>
    <w:rsid w:val="00A61B95"/>
    <w:rsid w:val="00A63638"/>
    <w:rsid w:val="00A67666"/>
    <w:rsid w:val="00A734DA"/>
    <w:rsid w:val="00A75CED"/>
    <w:rsid w:val="00A87BE7"/>
    <w:rsid w:val="00A95648"/>
    <w:rsid w:val="00AB19BD"/>
    <w:rsid w:val="00AB7093"/>
    <w:rsid w:val="00AC7349"/>
    <w:rsid w:val="00AE2007"/>
    <w:rsid w:val="00AF303C"/>
    <w:rsid w:val="00B048FA"/>
    <w:rsid w:val="00B07EBE"/>
    <w:rsid w:val="00B111F2"/>
    <w:rsid w:val="00B134E2"/>
    <w:rsid w:val="00B1744E"/>
    <w:rsid w:val="00B20997"/>
    <w:rsid w:val="00B20F36"/>
    <w:rsid w:val="00B3110B"/>
    <w:rsid w:val="00B47C4B"/>
    <w:rsid w:val="00B52920"/>
    <w:rsid w:val="00B54173"/>
    <w:rsid w:val="00B6159F"/>
    <w:rsid w:val="00B73915"/>
    <w:rsid w:val="00B772C2"/>
    <w:rsid w:val="00B80B0A"/>
    <w:rsid w:val="00B80E61"/>
    <w:rsid w:val="00B9133B"/>
    <w:rsid w:val="00B936FF"/>
    <w:rsid w:val="00B93CC4"/>
    <w:rsid w:val="00B97330"/>
    <w:rsid w:val="00BA054D"/>
    <w:rsid w:val="00BB0512"/>
    <w:rsid w:val="00BB24DE"/>
    <w:rsid w:val="00BB6B92"/>
    <w:rsid w:val="00BC47BE"/>
    <w:rsid w:val="00BC5DAC"/>
    <w:rsid w:val="00BC7A64"/>
    <w:rsid w:val="00BD0CC6"/>
    <w:rsid w:val="00BE6778"/>
    <w:rsid w:val="00BF3441"/>
    <w:rsid w:val="00BF5545"/>
    <w:rsid w:val="00C030FD"/>
    <w:rsid w:val="00C032CD"/>
    <w:rsid w:val="00C03E41"/>
    <w:rsid w:val="00C113E1"/>
    <w:rsid w:val="00C11ED5"/>
    <w:rsid w:val="00C23185"/>
    <w:rsid w:val="00C26EDF"/>
    <w:rsid w:val="00C53590"/>
    <w:rsid w:val="00C549EC"/>
    <w:rsid w:val="00C550C5"/>
    <w:rsid w:val="00C60A01"/>
    <w:rsid w:val="00C66B82"/>
    <w:rsid w:val="00C84E82"/>
    <w:rsid w:val="00C94D3F"/>
    <w:rsid w:val="00C9749F"/>
    <w:rsid w:val="00C977C0"/>
    <w:rsid w:val="00C97C1A"/>
    <w:rsid w:val="00CB0AD1"/>
    <w:rsid w:val="00CB0C05"/>
    <w:rsid w:val="00CB1B34"/>
    <w:rsid w:val="00CB25E6"/>
    <w:rsid w:val="00CB30C6"/>
    <w:rsid w:val="00CB5A97"/>
    <w:rsid w:val="00CC6300"/>
    <w:rsid w:val="00CD0E6A"/>
    <w:rsid w:val="00CD2FBA"/>
    <w:rsid w:val="00CD6BE8"/>
    <w:rsid w:val="00CD733E"/>
    <w:rsid w:val="00CF5D0C"/>
    <w:rsid w:val="00CF62B0"/>
    <w:rsid w:val="00CF65CD"/>
    <w:rsid w:val="00D07B82"/>
    <w:rsid w:val="00D07C92"/>
    <w:rsid w:val="00D109F4"/>
    <w:rsid w:val="00D22E91"/>
    <w:rsid w:val="00D234F3"/>
    <w:rsid w:val="00D308E2"/>
    <w:rsid w:val="00D319D7"/>
    <w:rsid w:val="00D31F7B"/>
    <w:rsid w:val="00D405A9"/>
    <w:rsid w:val="00D409D6"/>
    <w:rsid w:val="00D44266"/>
    <w:rsid w:val="00D46A7C"/>
    <w:rsid w:val="00D54681"/>
    <w:rsid w:val="00D63FAB"/>
    <w:rsid w:val="00D65EBA"/>
    <w:rsid w:val="00D72C60"/>
    <w:rsid w:val="00D827A7"/>
    <w:rsid w:val="00D82DE6"/>
    <w:rsid w:val="00D83244"/>
    <w:rsid w:val="00D9135E"/>
    <w:rsid w:val="00D9353C"/>
    <w:rsid w:val="00D97D46"/>
    <w:rsid w:val="00DA0508"/>
    <w:rsid w:val="00DA4E37"/>
    <w:rsid w:val="00DB5F2D"/>
    <w:rsid w:val="00DC4BCE"/>
    <w:rsid w:val="00DC7ECE"/>
    <w:rsid w:val="00DD7747"/>
    <w:rsid w:val="00DE3978"/>
    <w:rsid w:val="00DE4BE7"/>
    <w:rsid w:val="00DF0268"/>
    <w:rsid w:val="00DF050C"/>
    <w:rsid w:val="00E065AE"/>
    <w:rsid w:val="00E07814"/>
    <w:rsid w:val="00E103A1"/>
    <w:rsid w:val="00E10513"/>
    <w:rsid w:val="00E1483F"/>
    <w:rsid w:val="00E307AA"/>
    <w:rsid w:val="00E45E6F"/>
    <w:rsid w:val="00E51E03"/>
    <w:rsid w:val="00E5505F"/>
    <w:rsid w:val="00E56CEF"/>
    <w:rsid w:val="00E6083E"/>
    <w:rsid w:val="00E733F0"/>
    <w:rsid w:val="00E76AB8"/>
    <w:rsid w:val="00E80D00"/>
    <w:rsid w:val="00E87279"/>
    <w:rsid w:val="00EA285A"/>
    <w:rsid w:val="00EA70EA"/>
    <w:rsid w:val="00ED1515"/>
    <w:rsid w:val="00ED4855"/>
    <w:rsid w:val="00EE552E"/>
    <w:rsid w:val="00EE60B4"/>
    <w:rsid w:val="00EE6CA5"/>
    <w:rsid w:val="00F00E79"/>
    <w:rsid w:val="00F143A1"/>
    <w:rsid w:val="00F14650"/>
    <w:rsid w:val="00F14D70"/>
    <w:rsid w:val="00F16415"/>
    <w:rsid w:val="00F17789"/>
    <w:rsid w:val="00F22E95"/>
    <w:rsid w:val="00F23241"/>
    <w:rsid w:val="00F31542"/>
    <w:rsid w:val="00F33B7B"/>
    <w:rsid w:val="00F34C66"/>
    <w:rsid w:val="00F37FD0"/>
    <w:rsid w:val="00F56557"/>
    <w:rsid w:val="00F619D6"/>
    <w:rsid w:val="00F62286"/>
    <w:rsid w:val="00F648AE"/>
    <w:rsid w:val="00F673CC"/>
    <w:rsid w:val="00F75BC6"/>
    <w:rsid w:val="00F76625"/>
    <w:rsid w:val="00F76ECA"/>
    <w:rsid w:val="00F83379"/>
    <w:rsid w:val="00F91EF4"/>
    <w:rsid w:val="00F957BA"/>
    <w:rsid w:val="00FA26D1"/>
    <w:rsid w:val="00FA2AFC"/>
    <w:rsid w:val="00FA3488"/>
    <w:rsid w:val="00FB53EA"/>
    <w:rsid w:val="00FC041A"/>
    <w:rsid w:val="00FC6048"/>
    <w:rsid w:val="00FC7E3F"/>
    <w:rsid w:val="00FD16E6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33483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810645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vsbc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sbc.vic.gov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usiness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iv.asn.au/referr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2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51C9B-D308-4683-BA12-AD712C15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6643</Characters>
  <Application>Microsoft Office Word</Application>
  <DocSecurity>8</DocSecurity>
  <Lines>201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2019-06-04T05:32:00Z</cp:lastPrinted>
  <dcterms:created xsi:type="dcterms:W3CDTF">2026-05-25T23:49:00Z</dcterms:created>
  <dcterms:modified xsi:type="dcterms:W3CDTF">2026-05-25T23:49:00Z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LastSaved">
    <vt:filetime>2019-05-15T00:00:00Z</vt:filetime>
  </property>
  <property fmtid="{D5CDD505-2E9C-101B-9397-08002B2CF9AE}" pid="11" name="MediaServiceImageTags">
    <vt:lpwstr/>
  </property>
  <property fmtid="{D5CDD505-2E9C-101B-9397-08002B2CF9AE}" pid="12" name="MSIP_Label_d00a4df9-c942-4b09-b23a-6c1023f6de27_ActionId">
    <vt:lpwstr>f0665c55-ca89-4dff-824b-f56b7593bc4a</vt:lpwstr>
  </property>
  <property fmtid="{D5CDD505-2E9C-101B-9397-08002B2CF9AE}" pid="13" name="MSIP_Label_d00a4df9-c942-4b09-b23a-6c1023f6de27_ContentBits">
    <vt:lpwstr>3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Method">
    <vt:lpwstr>Privileged</vt:lpwstr>
  </property>
  <property fmtid="{D5CDD505-2E9C-101B-9397-08002B2CF9AE}" pid="16" name="MSIP_Label_d00a4df9-c942-4b09-b23a-6c1023f6de27_Name">
    <vt:lpwstr>Official (DJPR)</vt:lpwstr>
  </property>
  <property fmtid="{D5CDD505-2E9C-101B-9397-08002B2CF9AE}" pid="17" name="MSIP_Label_d00a4df9-c942-4b09-b23a-6c1023f6de27_SetDate">
    <vt:lpwstr>2025-06-06T06:07:29Z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Tag">
    <vt:lpwstr>10, 0, 1, 1</vt:lpwstr>
  </property>
</Properties>
</file>