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55922" w14:textId="206B585B" w:rsidR="00E36B2D" w:rsidRPr="00E23339" w:rsidRDefault="007D0E5B" w:rsidP="00E36B2D">
      <w:pPr>
        <w:rPr>
          <w:rFonts w:ascii="Arial" w:hAnsi="Arial" w:cs="Arial"/>
          <w:color w:val="0081C6"/>
          <w:sz w:val="40"/>
          <w:szCs w:val="40"/>
        </w:rPr>
      </w:pPr>
      <w:r>
        <w:rPr>
          <w:rFonts w:ascii="Arial" w:hAnsi="Arial" w:cs="Arial"/>
          <w:color w:val="0081C6"/>
          <w:sz w:val="40"/>
          <w:szCs w:val="40"/>
        </w:rPr>
        <w:t>OPERATI</w:t>
      </w:r>
      <w:r w:rsidRPr="007D0E5B">
        <w:rPr>
          <w:rFonts w:ascii="Arial" w:hAnsi="Arial" w:cs="Arial"/>
          <w:color w:val="0081C6"/>
          <w:sz w:val="40"/>
          <w:szCs w:val="40"/>
        </w:rPr>
        <w:t>ONA</w:t>
      </w:r>
      <w:r>
        <w:rPr>
          <w:rFonts w:ascii="Arial" w:hAnsi="Arial" w:cs="Arial"/>
          <w:color w:val="0081C6"/>
          <w:sz w:val="40"/>
          <w:szCs w:val="40"/>
        </w:rPr>
        <w:t>L GUIDELINES</w:t>
      </w:r>
    </w:p>
    <w:p w14:paraId="0C396DD1" w14:textId="52D09B44" w:rsidR="00220AA5" w:rsidRPr="007D0E5B" w:rsidRDefault="007D0E5B" w:rsidP="00E54AEC">
      <w:pPr>
        <w:spacing w:before="120" w:after="120" w:line="264" w:lineRule="auto"/>
        <w:rPr>
          <w:rFonts w:ascii="Arial" w:hAnsi="Arial" w:cs="Arial"/>
          <w:b/>
          <w:bCs/>
        </w:rPr>
      </w:pPr>
      <w:r w:rsidRPr="007D0E5B">
        <w:rPr>
          <w:rFonts w:ascii="Arial" w:hAnsi="Arial" w:cs="Arial"/>
          <w:b/>
          <w:bCs/>
        </w:rPr>
        <w:t xml:space="preserve">Determining whether a party to a dispute has unreasonably refused to participate in alternative dispute resolution (ADR) so that a certificate may be issued under s 12(3) of the </w:t>
      </w:r>
      <w:r w:rsidRPr="007D0E5B">
        <w:rPr>
          <w:rFonts w:ascii="Arial" w:hAnsi="Arial" w:cs="Arial"/>
          <w:b/>
          <w:bCs/>
          <w:i/>
          <w:iCs/>
        </w:rPr>
        <w:t>Small Business Commission Act 2017</w:t>
      </w:r>
      <w:r w:rsidRPr="007D0E5B">
        <w:rPr>
          <w:rFonts w:ascii="Arial" w:hAnsi="Arial" w:cs="Arial"/>
          <w:b/>
          <w:bCs/>
        </w:rPr>
        <w:t xml:space="preserve"> </w:t>
      </w:r>
    </w:p>
    <w:p w14:paraId="78460B76" w14:textId="597D03F5" w:rsidR="0013110A" w:rsidRPr="000E11C0" w:rsidRDefault="007D0E5B" w:rsidP="00E54AEC">
      <w:pPr>
        <w:spacing w:before="120" w:after="120" w:line="264" w:lineRule="auto"/>
        <w:rPr>
          <w:rFonts w:ascii="Arial" w:hAnsi="Arial" w:cs="Arial"/>
          <w:b/>
          <w:sz w:val="21"/>
          <w:szCs w:val="21"/>
        </w:rPr>
      </w:pPr>
      <w:r w:rsidRPr="007D0E5B">
        <w:rPr>
          <w:rFonts w:ascii="Arial" w:hAnsi="Arial" w:cs="Arial"/>
          <w:b/>
          <w:sz w:val="21"/>
          <w:szCs w:val="21"/>
        </w:rPr>
        <w:t xml:space="preserve">Note: These </w:t>
      </w:r>
      <w:r w:rsidRPr="007D0E5B">
        <w:rPr>
          <w:rFonts w:ascii="Arial" w:hAnsi="Arial" w:cs="Arial"/>
          <w:b/>
          <w:i/>
          <w:iCs/>
          <w:sz w:val="21"/>
          <w:szCs w:val="21"/>
        </w:rPr>
        <w:t>Guidelines</w:t>
      </w:r>
      <w:r w:rsidRPr="007D0E5B">
        <w:rPr>
          <w:rFonts w:ascii="Arial" w:hAnsi="Arial" w:cs="Arial"/>
          <w:b/>
          <w:sz w:val="21"/>
          <w:szCs w:val="21"/>
        </w:rPr>
        <w:t xml:space="preserve"> are subject to change from time to time. These </w:t>
      </w:r>
      <w:r w:rsidRPr="007D0E5B">
        <w:rPr>
          <w:rFonts w:ascii="Arial" w:hAnsi="Arial" w:cs="Arial"/>
          <w:b/>
          <w:i/>
          <w:iCs/>
          <w:sz w:val="21"/>
          <w:szCs w:val="21"/>
        </w:rPr>
        <w:t>Guidelines</w:t>
      </w:r>
      <w:r w:rsidRPr="007D0E5B">
        <w:rPr>
          <w:rFonts w:ascii="Arial" w:hAnsi="Arial" w:cs="Arial"/>
          <w:b/>
          <w:sz w:val="21"/>
          <w:szCs w:val="21"/>
        </w:rPr>
        <w:t xml:space="preserve"> are current at 1 July 2017. </w:t>
      </w:r>
    </w:p>
    <w:p w14:paraId="1972FEA8" w14:textId="77777777" w:rsidR="007D0E5B" w:rsidRPr="00F52594" w:rsidRDefault="007D0E5B" w:rsidP="00F52594">
      <w:pPr>
        <w:spacing w:before="240" w:after="120" w:line="264" w:lineRule="auto"/>
        <w:rPr>
          <w:rFonts w:ascii="Arial" w:hAnsi="Arial" w:cs="Arial"/>
        </w:rPr>
      </w:pPr>
      <w:r w:rsidRPr="00F52594">
        <w:rPr>
          <w:rFonts w:ascii="Arial" w:hAnsi="Arial" w:cs="Arial"/>
          <w:color w:val="0081C6"/>
        </w:rPr>
        <w:t>Purpose</w:t>
      </w:r>
      <w:r w:rsidRPr="00F52594">
        <w:rPr>
          <w:rFonts w:ascii="Arial" w:hAnsi="Arial" w:cs="Arial"/>
        </w:rPr>
        <w:t xml:space="preserve"> </w:t>
      </w:r>
    </w:p>
    <w:p w14:paraId="6BA033FE" w14:textId="77777777" w:rsidR="007D0E5B" w:rsidRPr="007D0E5B" w:rsidRDefault="007D0E5B" w:rsidP="007D0E5B">
      <w:pPr>
        <w:spacing w:before="120" w:after="120" w:line="264" w:lineRule="auto"/>
        <w:rPr>
          <w:rFonts w:ascii="Arial" w:hAnsi="Arial" w:cs="Arial"/>
          <w:sz w:val="21"/>
          <w:szCs w:val="21"/>
        </w:rPr>
      </w:pPr>
      <w:r w:rsidRPr="007D0E5B">
        <w:rPr>
          <w:rFonts w:ascii="Arial" w:hAnsi="Arial" w:cs="Arial"/>
          <w:sz w:val="21"/>
          <w:szCs w:val="21"/>
        </w:rPr>
        <w:t xml:space="preserve">These </w:t>
      </w:r>
      <w:r w:rsidRPr="007D0E5B">
        <w:rPr>
          <w:rFonts w:ascii="Arial" w:hAnsi="Arial" w:cs="Arial"/>
          <w:i/>
          <w:iCs/>
          <w:sz w:val="21"/>
          <w:szCs w:val="21"/>
        </w:rPr>
        <w:t>Guidelines</w:t>
      </w:r>
      <w:r w:rsidRPr="007D0E5B">
        <w:rPr>
          <w:rFonts w:ascii="Arial" w:hAnsi="Arial" w:cs="Arial"/>
          <w:sz w:val="21"/>
          <w:szCs w:val="21"/>
        </w:rPr>
        <w:t xml:space="preserve"> outline the process followed by the Victorian Small Business Commissioner (VSBC) in exercising her power to certify that a party to a dispute has unreasonably refused to participate in alternative dispute resolution (ADR) under the </w:t>
      </w:r>
      <w:r w:rsidRPr="007D0E5B">
        <w:rPr>
          <w:rFonts w:ascii="Arial" w:hAnsi="Arial" w:cs="Arial"/>
          <w:i/>
          <w:iCs/>
          <w:sz w:val="21"/>
          <w:szCs w:val="21"/>
        </w:rPr>
        <w:t>Small Business Commission Act 2017</w:t>
      </w:r>
      <w:r w:rsidRPr="007D0E5B">
        <w:rPr>
          <w:rFonts w:ascii="Arial" w:hAnsi="Arial" w:cs="Arial"/>
          <w:sz w:val="21"/>
          <w:szCs w:val="21"/>
        </w:rPr>
        <w:t xml:space="preserve"> (Act). </w:t>
      </w:r>
    </w:p>
    <w:p w14:paraId="7BF7839E" w14:textId="77777777" w:rsidR="007D0E5B" w:rsidRPr="007D0E5B" w:rsidRDefault="007D0E5B" w:rsidP="007D0E5B">
      <w:pPr>
        <w:spacing w:before="120" w:after="120" w:line="264" w:lineRule="auto"/>
        <w:rPr>
          <w:rFonts w:ascii="Arial" w:hAnsi="Arial" w:cs="Arial"/>
          <w:sz w:val="21"/>
          <w:szCs w:val="21"/>
        </w:rPr>
      </w:pPr>
      <w:r w:rsidRPr="007D0E5B">
        <w:rPr>
          <w:rFonts w:ascii="Arial" w:hAnsi="Arial" w:cs="Arial"/>
          <w:sz w:val="21"/>
          <w:szCs w:val="21"/>
        </w:rPr>
        <w:t xml:space="preserve">Such certificates may be admitted in evidence before the Victorian Civil and Administrative Tribunal (VCAT) or a court. Details of these certificates may also be published in the VSBC Annual Report. This Report is tabled in Parliament. </w:t>
      </w:r>
    </w:p>
    <w:p w14:paraId="61813769" w14:textId="77777777" w:rsidR="007D0E5B" w:rsidRPr="00F52594" w:rsidRDefault="007D0E5B" w:rsidP="00F52594">
      <w:pPr>
        <w:spacing w:before="240" w:after="120" w:line="264" w:lineRule="auto"/>
        <w:rPr>
          <w:rFonts w:ascii="Arial" w:hAnsi="Arial" w:cs="Arial"/>
        </w:rPr>
      </w:pPr>
      <w:r w:rsidRPr="00F52594">
        <w:rPr>
          <w:rFonts w:ascii="Arial" w:hAnsi="Arial" w:cs="Arial"/>
          <w:color w:val="0081C6"/>
        </w:rPr>
        <w:t>Application</w:t>
      </w:r>
      <w:r w:rsidRPr="00F52594">
        <w:rPr>
          <w:rFonts w:ascii="Arial" w:hAnsi="Arial" w:cs="Arial"/>
        </w:rPr>
        <w:t xml:space="preserve"> </w:t>
      </w:r>
    </w:p>
    <w:p w14:paraId="3537B074" w14:textId="77777777" w:rsidR="007D0E5B" w:rsidRPr="007D0E5B" w:rsidRDefault="007D0E5B" w:rsidP="007D0E5B">
      <w:pPr>
        <w:spacing w:before="120" w:after="120" w:line="264" w:lineRule="auto"/>
        <w:rPr>
          <w:rFonts w:ascii="Arial" w:hAnsi="Arial" w:cs="Arial"/>
          <w:sz w:val="21"/>
          <w:szCs w:val="21"/>
        </w:rPr>
      </w:pPr>
      <w:r w:rsidRPr="007D0E5B">
        <w:rPr>
          <w:rFonts w:ascii="Arial" w:hAnsi="Arial" w:cs="Arial"/>
          <w:sz w:val="21"/>
          <w:szCs w:val="21"/>
        </w:rPr>
        <w:t xml:space="preserve">These </w:t>
      </w:r>
      <w:r w:rsidRPr="007D0E5B">
        <w:rPr>
          <w:rFonts w:ascii="Arial" w:hAnsi="Arial" w:cs="Arial"/>
          <w:i/>
          <w:iCs/>
          <w:sz w:val="21"/>
          <w:szCs w:val="21"/>
        </w:rPr>
        <w:t>Guidelines</w:t>
      </w:r>
      <w:r w:rsidRPr="007D0E5B">
        <w:rPr>
          <w:rFonts w:ascii="Arial" w:hAnsi="Arial" w:cs="Arial"/>
          <w:sz w:val="21"/>
          <w:szCs w:val="21"/>
        </w:rPr>
        <w:t xml:space="preserve"> apply to applications lodged with the VSBC under the Act on or after 1 May 2014. </w:t>
      </w:r>
    </w:p>
    <w:p w14:paraId="34792EE7" w14:textId="77777777" w:rsidR="007D0E5B" w:rsidRPr="00F52594" w:rsidRDefault="007D0E5B" w:rsidP="00F52594">
      <w:pPr>
        <w:spacing w:before="240" w:after="120" w:line="264" w:lineRule="auto"/>
        <w:rPr>
          <w:rFonts w:ascii="Arial" w:hAnsi="Arial" w:cs="Arial"/>
        </w:rPr>
      </w:pPr>
      <w:r w:rsidRPr="00F52594">
        <w:rPr>
          <w:rFonts w:ascii="Arial" w:hAnsi="Arial" w:cs="Arial"/>
          <w:color w:val="0081C6"/>
        </w:rPr>
        <w:t>Context</w:t>
      </w:r>
      <w:r w:rsidRPr="00F52594">
        <w:rPr>
          <w:rFonts w:ascii="Arial" w:hAnsi="Arial" w:cs="Arial"/>
        </w:rPr>
        <w:t xml:space="preserve"> </w:t>
      </w:r>
    </w:p>
    <w:p w14:paraId="280928D0" w14:textId="77777777" w:rsidR="007D0E5B" w:rsidRPr="007D0E5B" w:rsidRDefault="007D0E5B" w:rsidP="007D0E5B">
      <w:pPr>
        <w:spacing w:before="120" w:after="120" w:line="264" w:lineRule="auto"/>
        <w:rPr>
          <w:rFonts w:ascii="Arial" w:hAnsi="Arial" w:cs="Arial"/>
          <w:sz w:val="21"/>
          <w:szCs w:val="21"/>
        </w:rPr>
      </w:pPr>
      <w:r w:rsidRPr="007D0E5B">
        <w:rPr>
          <w:rFonts w:ascii="Arial" w:hAnsi="Arial" w:cs="Arial"/>
          <w:sz w:val="21"/>
          <w:szCs w:val="21"/>
        </w:rPr>
        <w:t xml:space="preserve">A key role of the VSBC is to provide ADR services to small businesses in disputes with other businesses and with public entities, public service bodies, Councils, non-profit organisations, professional associations, educational institutions, industry bodies and certain special bodies within government. These disputes relate to unfair market practices and commercial dealings. ADR seeks to resolve the dispute through preliminary assistance or mediation that has been arranged by the VSBC. </w:t>
      </w:r>
    </w:p>
    <w:p w14:paraId="026F85B0" w14:textId="3E2582DD" w:rsidR="007D0E5B" w:rsidRPr="007D0E5B" w:rsidRDefault="007D0E5B" w:rsidP="007D0E5B">
      <w:pPr>
        <w:spacing w:before="120" w:after="120" w:line="264" w:lineRule="auto"/>
        <w:rPr>
          <w:rFonts w:ascii="Arial" w:hAnsi="Arial" w:cs="Arial"/>
          <w:sz w:val="21"/>
          <w:szCs w:val="21"/>
        </w:rPr>
      </w:pPr>
      <w:r w:rsidRPr="007D0E5B">
        <w:rPr>
          <w:rFonts w:ascii="Arial" w:hAnsi="Arial" w:cs="Arial"/>
          <w:sz w:val="21"/>
          <w:szCs w:val="21"/>
        </w:rPr>
        <w:t xml:space="preserve">Resolution of disputes through ADR avoids the cost and other adverse consequences of litigation. </w:t>
      </w:r>
    </w:p>
    <w:p w14:paraId="0B68676A" w14:textId="2788797B" w:rsidR="007D0E5B" w:rsidRPr="007D0E5B" w:rsidRDefault="007D0E5B" w:rsidP="007D0E5B">
      <w:pPr>
        <w:spacing w:before="120" w:after="120" w:line="264" w:lineRule="auto"/>
        <w:rPr>
          <w:rFonts w:ascii="Arial" w:hAnsi="Arial" w:cs="Arial"/>
          <w:sz w:val="21"/>
          <w:szCs w:val="21"/>
        </w:rPr>
      </w:pPr>
      <w:r w:rsidRPr="007D0E5B">
        <w:rPr>
          <w:rFonts w:ascii="Arial" w:hAnsi="Arial" w:cs="Arial"/>
          <w:sz w:val="21"/>
          <w:szCs w:val="21"/>
        </w:rPr>
        <w:t xml:space="preserve">A subsidised fee is payable by both parties for VSBC mediation services. Refer to the VSBC </w:t>
      </w:r>
      <w:r w:rsidRPr="007D0E5B">
        <w:rPr>
          <w:rFonts w:ascii="Arial" w:hAnsi="Arial" w:cs="Arial"/>
          <w:i/>
          <w:iCs/>
          <w:sz w:val="21"/>
          <w:szCs w:val="21"/>
        </w:rPr>
        <w:t>Guide to Mediation</w:t>
      </w:r>
      <w:r w:rsidRPr="007D0E5B">
        <w:rPr>
          <w:rFonts w:ascii="Arial" w:hAnsi="Arial" w:cs="Arial"/>
          <w:sz w:val="21"/>
          <w:szCs w:val="21"/>
        </w:rPr>
        <w:t xml:space="preserve"> for more information, available at </w:t>
      </w:r>
      <w:hyperlink r:id="rId10" w:history="1">
        <w:r w:rsidR="005A3C50" w:rsidRPr="007D0E5B">
          <w:rPr>
            <w:rStyle w:val="Hyperlink"/>
            <w:rFonts w:cs="Arial"/>
            <w:sz w:val="21"/>
            <w:szCs w:val="21"/>
          </w:rPr>
          <w:t>www.vsbc.vic.gov.au</w:t>
        </w:r>
      </w:hyperlink>
      <w:r w:rsidRPr="007D0E5B">
        <w:rPr>
          <w:rFonts w:ascii="Arial" w:hAnsi="Arial" w:cs="Arial"/>
          <w:sz w:val="21"/>
          <w:szCs w:val="21"/>
        </w:rPr>
        <w:t xml:space="preserve">. </w:t>
      </w:r>
    </w:p>
    <w:p w14:paraId="3F540302" w14:textId="77777777" w:rsidR="007D0E5B" w:rsidRPr="007D0E5B" w:rsidRDefault="007D0E5B" w:rsidP="007D0E5B">
      <w:pPr>
        <w:spacing w:before="120" w:after="120" w:line="264" w:lineRule="auto"/>
        <w:rPr>
          <w:rFonts w:ascii="Arial" w:hAnsi="Arial" w:cs="Arial"/>
          <w:sz w:val="21"/>
          <w:szCs w:val="21"/>
        </w:rPr>
      </w:pPr>
      <w:r w:rsidRPr="007D0E5B">
        <w:rPr>
          <w:rFonts w:ascii="Arial" w:hAnsi="Arial" w:cs="Arial"/>
          <w:sz w:val="21"/>
          <w:szCs w:val="21"/>
        </w:rPr>
        <w:t xml:space="preserve">The VSBC does not deal with complaints that are trivial, vexatious, unlikely to be resolved through ADR or which could be more appropriately dealt with by a public entity, public service body or some other person. </w:t>
      </w:r>
    </w:p>
    <w:p w14:paraId="150448B9" w14:textId="77777777" w:rsidR="007D0E5B" w:rsidRPr="007D0E5B" w:rsidRDefault="007D0E5B" w:rsidP="007D0E5B">
      <w:pPr>
        <w:spacing w:before="120" w:after="120" w:line="264" w:lineRule="auto"/>
        <w:rPr>
          <w:rFonts w:ascii="Arial" w:hAnsi="Arial" w:cs="Arial"/>
          <w:sz w:val="21"/>
          <w:szCs w:val="21"/>
        </w:rPr>
      </w:pPr>
      <w:r w:rsidRPr="007D0E5B">
        <w:rPr>
          <w:rFonts w:ascii="Arial" w:hAnsi="Arial" w:cs="Arial"/>
          <w:sz w:val="21"/>
          <w:szCs w:val="21"/>
        </w:rPr>
        <w:t xml:space="preserve">To assist the VSBC perform the role of providing ADR, the Act provides a range of powers, including to: </w:t>
      </w:r>
    </w:p>
    <w:p w14:paraId="6066A611" w14:textId="77777777" w:rsidR="007D0E5B" w:rsidRPr="007D0E5B" w:rsidRDefault="007D0E5B" w:rsidP="007D0E5B">
      <w:pPr>
        <w:numPr>
          <w:ilvl w:val="0"/>
          <w:numId w:val="7"/>
        </w:numPr>
        <w:spacing w:before="120" w:after="120" w:line="264" w:lineRule="auto"/>
        <w:rPr>
          <w:rFonts w:ascii="Arial" w:hAnsi="Arial" w:cs="Arial"/>
          <w:sz w:val="21"/>
          <w:szCs w:val="21"/>
        </w:rPr>
      </w:pPr>
      <w:r w:rsidRPr="007D0E5B">
        <w:rPr>
          <w:rFonts w:ascii="Arial" w:hAnsi="Arial" w:cs="Arial"/>
          <w:sz w:val="21"/>
          <w:szCs w:val="21"/>
        </w:rPr>
        <w:t xml:space="preserve">issue certificates certifying that a dispute is unlikely to be resolved by ADR, or that ADR has been attempted but has been unsuccessful (s 12(1)); </w:t>
      </w:r>
    </w:p>
    <w:p w14:paraId="24B36493" w14:textId="77777777" w:rsidR="007D0E5B" w:rsidRDefault="007D0E5B" w:rsidP="007D0E5B">
      <w:pPr>
        <w:numPr>
          <w:ilvl w:val="0"/>
          <w:numId w:val="7"/>
        </w:numPr>
        <w:spacing w:before="120" w:after="120" w:line="264" w:lineRule="auto"/>
        <w:rPr>
          <w:rFonts w:ascii="Arial" w:hAnsi="Arial" w:cs="Arial"/>
          <w:sz w:val="21"/>
          <w:szCs w:val="21"/>
        </w:rPr>
      </w:pPr>
      <w:r w:rsidRPr="007D0E5B">
        <w:rPr>
          <w:rFonts w:ascii="Arial" w:hAnsi="Arial" w:cs="Arial"/>
          <w:sz w:val="21"/>
          <w:szCs w:val="21"/>
        </w:rPr>
        <w:t xml:space="preserve">issue certificates certifying that a party has </w:t>
      </w:r>
      <w:r w:rsidRPr="007D0E5B">
        <w:rPr>
          <w:rFonts w:ascii="Arial" w:hAnsi="Arial" w:cs="Arial"/>
          <w:i/>
          <w:iCs/>
          <w:sz w:val="21"/>
          <w:szCs w:val="21"/>
        </w:rPr>
        <w:t>unreasonably</w:t>
      </w:r>
      <w:r w:rsidRPr="007D0E5B">
        <w:rPr>
          <w:rFonts w:ascii="Arial" w:hAnsi="Arial" w:cs="Arial"/>
          <w:sz w:val="21"/>
          <w:szCs w:val="21"/>
        </w:rPr>
        <w:t xml:space="preserve"> refused to participate in ADR (s 12(3)); and </w:t>
      </w:r>
    </w:p>
    <w:p w14:paraId="395BA373" w14:textId="7D864FE1" w:rsidR="007D0E5B" w:rsidRPr="007D0E5B" w:rsidRDefault="007D0E5B" w:rsidP="007D0E5B">
      <w:pPr>
        <w:numPr>
          <w:ilvl w:val="0"/>
          <w:numId w:val="7"/>
        </w:numPr>
        <w:spacing w:before="120" w:after="120" w:line="264" w:lineRule="auto"/>
        <w:rPr>
          <w:rFonts w:ascii="Arial" w:hAnsi="Arial" w:cs="Arial"/>
          <w:sz w:val="21"/>
          <w:szCs w:val="21"/>
        </w:rPr>
      </w:pPr>
      <w:r w:rsidRPr="007D0E5B">
        <w:rPr>
          <w:rFonts w:ascii="Arial" w:hAnsi="Arial" w:cs="Arial"/>
          <w:sz w:val="21"/>
          <w:szCs w:val="21"/>
        </w:rPr>
        <w:t xml:space="preserve">publish details of certificates issued for unreasonable refusal to participate, specifically the name of the parties which unreasonably refused to participate in ADR, in a report to </w:t>
      </w:r>
      <w:r w:rsidRPr="007D0E5B">
        <w:rPr>
          <w:rFonts w:ascii="Arial" w:hAnsi="Arial" w:cs="Arial"/>
          <w:sz w:val="21"/>
          <w:szCs w:val="21"/>
        </w:rPr>
        <w:lastRenderedPageBreak/>
        <w:t xml:space="preserve">the Minister (the Annual Report) (s 16(4)) for tabling in Parliament (s 16(3)). The Annual Report is published in hard copy format as well as on the VSBC website. </w:t>
      </w:r>
    </w:p>
    <w:p w14:paraId="0B9A32EB" w14:textId="77777777" w:rsidR="007D0E5B" w:rsidRPr="007D0E5B" w:rsidRDefault="007D0E5B" w:rsidP="007D0E5B">
      <w:pPr>
        <w:spacing w:before="120" w:after="120" w:line="264" w:lineRule="auto"/>
        <w:rPr>
          <w:rFonts w:ascii="Arial" w:hAnsi="Arial" w:cs="Arial"/>
          <w:sz w:val="21"/>
          <w:szCs w:val="21"/>
        </w:rPr>
      </w:pPr>
      <w:r w:rsidRPr="007D0E5B">
        <w:rPr>
          <w:rFonts w:ascii="Arial" w:hAnsi="Arial" w:cs="Arial"/>
          <w:sz w:val="21"/>
          <w:szCs w:val="21"/>
        </w:rPr>
        <w:t xml:space="preserve">A certificate issued by the VSBC may be used as evidence in proceedings before VCAT or a court (s 12(4)). </w:t>
      </w:r>
    </w:p>
    <w:p w14:paraId="35A0276E" w14:textId="77777777" w:rsidR="007D0E5B" w:rsidRPr="007D0E5B" w:rsidRDefault="007D0E5B" w:rsidP="007D0E5B">
      <w:pPr>
        <w:spacing w:before="120" w:after="120" w:line="264" w:lineRule="auto"/>
        <w:rPr>
          <w:rFonts w:ascii="Arial" w:hAnsi="Arial" w:cs="Arial"/>
          <w:sz w:val="21"/>
          <w:szCs w:val="21"/>
        </w:rPr>
      </w:pPr>
      <w:r w:rsidRPr="007D0E5B">
        <w:rPr>
          <w:rFonts w:ascii="Arial" w:hAnsi="Arial" w:cs="Arial"/>
          <w:sz w:val="21"/>
          <w:szCs w:val="21"/>
        </w:rPr>
        <w:t xml:space="preserve">These measures serve to encourage parties to participate in ADR and attempt to resolve their disputes cooperatively. </w:t>
      </w:r>
    </w:p>
    <w:p w14:paraId="5C157A6E" w14:textId="77777777" w:rsidR="007D0E5B" w:rsidRPr="00F52594" w:rsidRDefault="007D0E5B" w:rsidP="00F52594">
      <w:pPr>
        <w:spacing w:before="240" w:after="120" w:line="264" w:lineRule="auto"/>
        <w:rPr>
          <w:rFonts w:ascii="Arial" w:hAnsi="Arial" w:cs="Arial"/>
          <w:color w:val="0081C6"/>
        </w:rPr>
      </w:pPr>
      <w:r w:rsidRPr="00F52594">
        <w:rPr>
          <w:rFonts w:ascii="Arial" w:hAnsi="Arial" w:cs="Arial"/>
          <w:color w:val="0081C6"/>
        </w:rPr>
        <w:t xml:space="preserve">When does a party unreasonably refuse to participate in ADR? </w:t>
      </w:r>
    </w:p>
    <w:p w14:paraId="3F06B523" w14:textId="77777777" w:rsidR="007D0E5B" w:rsidRPr="007D0E5B" w:rsidRDefault="007D0E5B" w:rsidP="007D0E5B">
      <w:pPr>
        <w:spacing w:before="120" w:after="120" w:line="264" w:lineRule="auto"/>
        <w:rPr>
          <w:rFonts w:ascii="Arial" w:hAnsi="Arial" w:cs="Arial"/>
          <w:sz w:val="21"/>
          <w:szCs w:val="21"/>
        </w:rPr>
      </w:pPr>
      <w:r w:rsidRPr="007D0E5B">
        <w:rPr>
          <w:rFonts w:ascii="Arial" w:hAnsi="Arial" w:cs="Arial"/>
          <w:sz w:val="21"/>
          <w:szCs w:val="21"/>
        </w:rPr>
        <w:t xml:space="preserve">Whether or not a party is considered to have unreasonably refused to participate in ADR will be determined by the VSBC on a case by case basis, having regard to the facts and context of the party's behaviour. </w:t>
      </w:r>
    </w:p>
    <w:p w14:paraId="7F5FDE1F" w14:textId="77777777" w:rsidR="007D0E5B" w:rsidRPr="00F52594" w:rsidRDefault="007D0E5B" w:rsidP="00F52594">
      <w:pPr>
        <w:spacing w:before="240" w:after="120" w:line="264" w:lineRule="auto"/>
        <w:rPr>
          <w:rFonts w:ascii="Arial" w:hAnsi="Arial" w:cs="Arial"/>
          <w:color w:val="0081C6"/>
        </w:rPr>
      </w:pPr>
      <w:r w:rsidRPr="00F52594">
        <w:rPr>
          <w:rFonts w:ascii="Arial" w:hAnsi="Arial" w:cs="Arial"/>
          <w:color w:val="0081C6"/>
        </w:rPr>
        <w:t xml:space="preserve">What is a 'refusal'? </w:t>
      </w:r>
    </w:p>
    <w:p w14:paraId="1BD9465F" w14:textId="77777777" w:rsidR="007D0E5B" w:rsidRPr="007D0E5B" w:rsidRDefault="007D0E5B" w:rsidP="007D0E5B">
      <w:pPr>
        <w:spacing w:before="120" w:after="120" w:line="264" w:lineRule="auto"/>
        <w:rPr>
          <w:rFonts w:ascii="Arial" w:hAnsi="Arial" w:cs="Arial"/>
          <w:sz w:val="21"/>
          <w:szCs w:val="21"/>
        </w:rPr>
      </w:pPr>
      <w:r w:rsidRPr="007D0E5B">
        <w:rPr>
          <w:rFonts w:ascii="Arial" w:hAnsi="Arial" w:cs="Arial"/>
          <w:sz w:val="21"/>
          <w:szCs w:val="21"/>
        </w:rPr>
        <w:t xml:space="preserve">A failure to respond within a reasonable period of time to a request to participate in ADR will amount to a 'refusal'. </w:t>
      </w:r>
    </w:p>
    <w:p w14:paraId="796D6EC5" w14:textId="50E37F2C" w:rsidR="007D0E5B" w:rsidRPr="007D0E5B" w:rsidRDefault="007D0E5B" w:rsidP="007D0E5B">
      <w:pPr>
        <w:spacing w:before="120" w:after="120" w:line="264" w:lineRule="auto"/>
        <w:rPr>
          <w:rFonts w:ascii="Arial" w:hAnsi="Arial" w:cs="Arial"/>
          <w:sz w:val="21"/>
          <w:szCs w:val="21"/>
        </w:rPr>
      </w:pPr>
      <w:r w:rsidRPr="007D0E5B">
        <w:rPr>
          <w:rFonts w:ascii="Arial" w:hAnsi="Arial" w:cs="Arial"/>
          <w:sz w:val="21"/>
          <w:szCs w:val="21"/>
        </w:rPr>
        <w:t>Initial acceptance to participate in mediation followed by a failure to cooperate will also amount to a refusal. For example, a Respondent</w:t>
      </w:r>
      <w:r w:rsidR="00F149D8">
        <w:rPr>
          <w:rStyle w:val="FootnoteReference"/>
          <w:rFonts w:ascii="Arial" w:hAnsi="Arial" w:cs="Arial"/>
          <w:sz w:val="21"/>
          <w:szCs w:val="21"/>
        </w:rPr>
        <w:footnoteReference w:id="2"/>
      </w:r>
      <w:r w:rsidRPr="007D0E5B">
        <w:rPr>
          <w:rFonts w:ascii="Arial" w:hAnsi="Arial" w:cs="Arial"/>
          <w:sz w:val="21"/>
          <w:szCs w:val="21"/>
        </w:rPr>
        <w:t xml:space="preserve"> agrees to mediation but then postpones the mediation date on more than one occasion. </w:t>
      </w:r>
    </w:p>
    <w:p w14:paraId="763F679C" w14:textId="77777777" w:rsidR="007D0E5B" w:rsidRPr="00F52594" w:rsidRDefault="007D0E5B" w:rsidP="00F52594">
      <w:pPr>
        <w:spacing w:before="240" w:after="120" w:line="264" w:lineRule="auto"/>
        <w:rPr>
          <w:rFonts w:ascii="Arial" w:hAnsi="Arial" w:cs="Arial"/>
          <w:color w:val="0081C6"/>
        </w:rPr>
      </w:pPr>
      <w:r w:rsidRPr="00F52594">
        <w:rPr>
          <w:rFonts w:ascii="Arial" w:hAnsi="Arial" w:cs="Arial"/>
          <w:color w:val="0081C6"/>
        </w:rPr>
        <w:t xml:space="preserve">What is an 'unreasonable' refusal? </w:t>
      </w:r>
    </w:p>
    <w:p w14:paraId="7976C92C" w14:textId="77777777" w:rsidR="007D0E5B" w:rsidRPr="007D0E5B" w:rsidRDefault="007D0E5B" w:rsidP="007D0E5B">
      <w:pPr>
        <w:spacing w:before="120" w:after="120" w:line="264" w:lineRule="auto"/>
        <w:rPr>
          <w:rFonts w:ascii="Arial" w:hAnsi="Arial" w:cs="Arial"/>
          <w:sz w:val="21"/>
          <w:szCs w:val="21"/>
        </w:rPr>
      </w:pPr>
      <w:r w:rsidRPr="007D0E5B">
        <w:rPr>
          <w:rFonts w:ascii="Arial" w:hAnsi="Arial" w:cs="Arial"/>
          <w:sz w:val="21"/>
          <w:szCs w:val="21"/>
        </w:rPr>
        <w:t xml:space="preserve">As a general rule, a party must have good and sufficient reasons for refusing to engage in the process of ADR. Without good and sufficient reasons presented to the VSBC, they will be considered as having refused unreasonably. </w:t>
      </w:r>
    </w:p>
    <w:p w14:paraId="5D10A6C7" w14:textId="77777777" w:rsidR="007D0E5B" w:rsidRPr="007D0E5B" w:rsidRDefault="007D0E5B" w:rsidP="007D0E5B">
      <w:pPr>
        <w:spacing w:before="120" w:after="120" w:line="264" w:lineRule="auto"/>
        <w:rPr>
          <w:rFonts w:ascii="Arial" w:hAnsi="Arial" w:cs="Arial"/>
          <w:sz w:val="21"/>
          <w:szCs w:val="21"/>
        </w:rPr>
      </w:pPr>
      <w:r w:rsidRPr="007D0E5B">
        <w:rPr>
          <w:rFonts w:ascii="Arial" w:hAnsi="Arial" w:cs="Arial"/>
          <w:sz w:val="21"/>
          <w:szCs w:val="21"/>
        </w:rPr>
        <w:t xml:space="preserve">The VSBC will look at the conduct of the parties in the context of the dispute, taking into account, where relevant: </w:t>
      </w:r>
    </w:p>
    <w:p w14:paraId="62DAFBA1" w14:textId="77777777" w:rsidR="007D0E5B" w:rsidRPr="007D0E5B" w:rsidRDefault="007D0E5B" w:rsidP="007D0E5B">
      <w:pPr>
        <w:numPr>
          <w:ilvl w:val="0"/>
          <w:numId w:val="8"/>
        </w:numPr>
        <w:spacing w:before="120" w:after="120" w:line="264" w:lineRule="auto"/>
        <w:rPr>
          <w:rFonts w:ascii="Arial" w:hAnsi="Arial" w:cs="Arial"/>
          <w:sz w:val="21"/>
          <w:szCs w:val="21"/>
        </w:rPr>
      </w:pPr>
      <w:r w:rsidRPr="007D0E5B">
        <w:rPr>
          <w:rFonts w:ascii="Arial" w:hAnsi="Arial" w:cs="Arial"/>
          <w:sz w:val="21"/>
          <w:szCs w:val="21"/>
        </w:rPr>
        <w:t xml:space="preserve">the nature of the dispute and whether it is amenable to ADR; </w:t>
      </w:r>
    </w:p>
    <w:p w14:paraId="05F43971" w14:textId="77777777" w:rsidR="007D0E5B" w:rsidRPr="007D0E5B" w:rsidRDefault="007D0E5B" w:rsidP="007D0E5B">
      <w:pPr>
        <w:numPr>
          <w:ilvl w:val="0"/>
          <w:numId w:val="8"/>
        </w:numPr>
        <w:spacing w:before="120" w:after="120" w:line="264" w:lineRule="auto"/>
        <w:rPr>
          <w:rFonts w:ascii="Arial" w:hAnsi="Arial" w:cs="Arial"/>
          <w:sz w:val="21"/>
          <w:szCs w:val="21"/>
        </w:rPr>
      </w:pPr>
      <w:r w:rsidRPr="007D0E5B">
        <w:rPr>
          <w:rFonts w:ascii="Arial" w:hAnsi="Arial" w:cs="Arial"/>
          <w:sz w:val="21"/>
          <w:szCs w:val="21"/>
        </w:rPr>
        <w:t xml:space="preserve">whether ADR has a reasonable prospect of success; </w:t>
      </w:r>
    </w:p>
    <w:p w14:paraId="054C5163" w14:textId="77777777" w:rsidR="007D0E5B" w:rsidRPr="007D0E5B" w:rsidRDefault="007D0E5B" w:rsidP="007D0E5B">
      <w:pPr>
        <w:numPr>
          <w:ilvl w:val="0"/>
          <w:numId w:val="8"/>
        </w:numPr>
        <w:spacing w:before="120" w:after="120" w:line="264" w:lineRule="auto"/>
        <w:rPr>
          <w:rFonts w:ascii="Arial" w:hAnsi="Arial" w:cs="Arial"/>
          <w:sz w:val="21"/>
          <w:szCs w:val="21"/>
        </w:rPr>
      </w:pPr>
      <w:r w:rsidRPr="007D0E5B">
        <w:rPr>
          <w:rFonts w:ascii="Arial" w:hAnsi="Arial" w:cs="Arial"/>
          <w:sz w:val="21"/>
          <w:szCs w:val="21"/>
        </w:rPr>
        <w:t xml:space="preserve">the positions adopted by each party; </w:t>
      </w:r>
    </w:p>
    <w:p w14:paraId="5BDAF251" w14:textId="77777777" w:rsidR="007D0E5B" w:rsidRPr="007D0E5B" w:rsidRDefault="007D0E5B" w:rsidP="007D0E5B">
      <w:pPr>
        <w:numPr>
          <w:ilvl w:val="0"/>
          <w:numId w:val="8"/>
        </w:numPr>
        <w:spacing w:before="120" w:after="120" w:line="264" w:lineRule="auto"/>
        <w:rPr>
          <w:rFonts w:ascii="Arial" w:hAnsi="Arial" w:cs="Arial"/>
          <w:sz w:val="21"/>
          <w:szCs w:val="21"/>
        </w:rPr>
      </w:pPr>
      <w:r w:rsidRPr="007D0E5B">
        <w:rPr>
          <w:rFonts w:ascii="Arial" w:hAnsi="Arial" w:cs="Arial"/>
          <w:sz w:val="21"/>
          <w:szCs w:val="21"/>
        </w:rPr>
        <w:t xml:space="preserve">whether the costs of ADR would be unreasonably high in comparison to the amount in dispute; </w:t>
      </w:r>
    </w:p>
    <w:p w14:paraId="798F05D5" w14:textId="77777777" w:rsidR="007D0E5B" w:rsidRPr="007D0E5B" w:rsidRDefault="007D0E5B" w:rsidP="007D0E5B">
      <w:pPr>
        <w:numPr>
          <w:ilvl w:val="0"/>
          <w:numId w:val="8"/>
        </w:numPr>
        <w:spacing w:before="120" w:after="120" w:line="264" w:lineRule="auto"/>
        <w:rPr>
          <w:rFonts w:ascii="Arial" w:hAnsi="Arial" w:cs="Arial"/>
          <w:sz w:val="21"/>
          <w:szCs w:val="21"/>
        </w:rPr>
      </w:pPr>
      <w:r w:rsidRPr="007D0E5B">
        <w:rPr>
          <w:rFonts w:ascii="Arial" w:hAnsi="Arial" w:cs="Arial"/>
          <w:sz w:val="21"/>
          <w:szCs w:val="21"/>
        </w:rPr>
        <w:t xml:space="preserve">background considerations, such as the extent to which other settlement methods have been attempted or whether ADR may cause a delay that is prejudicial to the Respondent; </w:t>
      </w:r>
    </w:p>
    <w:p w14:paraId="101789FE" w14:textId="36148711" w:rsidR="007D0E5B" w:rsidRDefault="007D0E5B" w:rsidP="007D0E5B">
      <w:pPr>
        <w:numPr>
          <w:ilvl w:val="0"/>
          <w:numId w:val="8"/>
        </w:numPr>
        <w:spacing w:before="120" w:after="120" w:line="264" w:lineRule="auto"/>
        <w:rPr>
          <w:rFonts w:ascii="Arial" w:hAnsi="Arial" w:cs="Arial"/>
          <w:sz w:val="21"/>
          <w:szCs w:val="21"/>
        </w:rPr>
      </w:pPr>
      <w:r w:rsidRPr="007D0E5B">
        <w:rPr>
          <w:rFonts w:ascii="Arial" w:hAnsi="Arial" w:cs="Arial"/>
          <w:sz w:val="21"/>
          <w:szCs w:val="21"/>
        </w:rPr>
        <w:t>other factors the VSBC considers relevant.</w:t>
      </w:r>
    </w:p>
    <w:p w14:paraId="020A9CD5" w14:textId="6989DD9B" w:rsidR="007D0E5B" w:rsidRPr="007D0E5B" w:rsidRDefault="007D0E5B" w:rsidP="007D0E5B">
      <w:pPr>
        <w:spacing w:before="120" w:after="120" w:line="264" w:lineRule="auto"/>
        <w:rPr>
          <w:rFonts w:ascii="Arial" w:hAnsi="Arial" w:cs="Arial"/>
          <w:sz w:val="21"/>
          <w:szCs w:val="21"/>
        </w:rPr>
      </w:pPr>
      <w:r w:rsidRPr="007D0E5B">
        <w:rPr>
          <w:rFonts w:ascii="Arial" w:hAnsi="Arial" w:cs="Arial"/>
          <w:sz w:val="21"/>
          <w:szCs w:val="21"/>
        </w:rPr>
        <w:t>Silence constitutes a refusal. The VSBC will, in most cases, regard the failure to respond to a request as</w:t>
      </w:r>
      <w:r>
        <w:rPr>
          <w:rFonts w:ascii="Arial" w:hAnsi="Arial" w:cs="Arial"/>
          <w:sz w:val="21"/>
          <w:szCs w:val="21"/>
        </w:rPr>
        <w:t xml:space="preserve"> </w:t>
      </w:r>
      <w:r w:rsidRPr="007D0E5B">
        <w:rPr>
          <w:rFonts w:ascii="Arial" w:hAnsi="Arial" w:cs="Arial"/>
          <w:sz w:val="21"/>
          <w:szCs w:val="21"/>
        </w:rPr>
        <w:t xml:space="preserve">itself an </w:t>
      </w:r>
      <w:r w:rsidRPr="007D0E5B">
        <w:rPr>
          <w:rFonts w:ascii="Arial" w:hAnsi="Arial" w:cs="Arial"/>
          <w:i/>
          <w:iCs/>
          <w:sz w:val="21"/>
          <w:szCs w:val="21"/>
        </w:rPr>
        <w:t>unreasonable</w:t>
      </w:r>
      <w:r w:rsidRPr="007D0E5B">
        <w:rPr>
          <w:rFonts w:ascii="Arial" w:hAnsi="Arial" w:cs="Arial"/>
          <w:sz w:val="21"/>
          <w:szCs w:val="21"/>
        </w:rPr>
        <w:t xml:space="preserve"> refusal. The refusal would be deemed unreasonable even if the party could, if it chose to, identify good and sufficient reasons for refusal. The rationale is: a request must not be ignored; rather, if the request is considered inappropriate, full and clear reasons must be given. </w:t>
      </w:r>
    </w:p>
    <w:p w14:paraId="6C2F3858" w14:textId="5F0FC79B" w:rsidR="007D0E5B" w:rsidRPr="00F52594" w:rsidRDefault="007D0E5B" w:rsidP="00F52594">
      <w:pPr>
        <w:spacing w:before="240" w:after="120" w:line="264" w:lineRule="auto"/>
        <w:rPr>
          <w:rFonts w:ascii="Arial" w:hAnsi="Arial" w:cs="Arial"/>
          <w:i/>
          <w:iCs/>
          <w:color w:val="0081C6"/>
        </w:rPr>
      </w:pPr>
      <w:r w:rsidRPr="00F52594">
        <w:rPr>
          <w:rFonts w:ascii="Arial" w:hAnsi="Arial" w:cs="Arial"/>
          <w:i/>
          <w:iCs/>
          <w:color w:val="0081C6"/>
        </w:rPr>
        <w:lastRenderedPageBreak/>
        <w:t xml:space="preserve">Examples </w:t>
      </w:r>
    </w:p>
    <w:p w14:paraId="6A91852D" w14:textId="77777777" w:rsidR="007D0E5B" w:rsidRPr="007D0E5B" w:rsidRDefault="007D0E5B" w:rsidP="007D0E5B">
      <w:pPr>
        <w:spacing w:before="120" w:after="120" w:line="264" w:lineRule="auto"/>
        <w:rPr>
          <w:rFonts w:ascii="Arial" w:hAnsi="Arial" w:cs="Arial"/>
          <w:sz w:val="21"/>
          <w:szCs w:val="21"/>
        </w:rPr>
      </w:pPr>
      <w:r w:rsidRPr="007D0E5B">
        <w:rPr>
          <w:rFonts w:ascii="Arial" w:hAnsi="Arial" w:cs="Arial"/>
          <w:sz w:val="21"/>
          <w:szCs w:val="21"/>
        </w:rPr>
        <w:t xml:space="preserve">Examples of good and sufficient reasons to refuse to participate in ADR may include: </w:t>
      </w:r>
    </w:p>
    <w:p w14:paraId="6BAEEDD4" w14:textId="77777777" w:rsidR="007D0E5B" w:rsidRPr="007D0E5B" w:rsidRDefault="007D0E5B" w:rsidP="007D0E5B">
      <w:pPr>
        <w:numPr>
          <w:ilvl w:val="0"/>
          <w:numId w:val="9"/>
        </w:numPr>
        <w:spacing w:before="120" w:after="120" w:line="264" w:lineRule="auto"/>
        <w:rPr>
          <w:rFonts w:ascii="Arial" w:hAnsi="Arial" w:cs="Arial"/>
          <w:sz w:val="21"/>
          <w:szCs w:val="21"/>
        </w:rPr>
      </w:pPr>
      <w:r w:rsidRPr="007D0E5B">
        <w:rPr>
          <w:rFonts w:ascii="Arial" w:hAnsi="Arial" w:cs="Arial"/>
          <w:sz w:val="21"/>
          <w:szCs w:val="21"/>
        </w:rPr>
        <w:t xml:space="preserve">on an objective view, there is no real prospect of successfully resolving the dispute through ADR. For example, the character and attitude of the Applicant is such that there is no prospect that resolution will be achieved; or the issue in dispute is a matter of legal interpretation which must be resolved by adjudication; </w:t>
      </w:r>
    </w:p>
    <w:p w14:paraId="30E6E018" w14:textId="77777777" w:rsidR="007D0E5B" w:rsidRPr="007D0E5B" w:rsidRDefault="007D0E5B" w:rsidP="007D0E5B">
      <w:pPr>
        <w:numPr>
          <w:ilvl w:val="0"/>
          <w:numId w:val="9"/>
        </w:numPr>
        <w:spacing w:before="120" w:after="120" w:line="264" w:lineRule="auto"/>
        <w:rPr>
          <w:rFonts w:ascii="Arial" w:hAnsi="Arial" w:cs="Arial"/>
          <w:sz w:val="21"/>
          <w:szCs w:val="21"/>
        </w:rPr>
      </w:pPr>
      <w:r w:rsidRPr="007D0E5B">
        <w:rPr>
          <w:rFonts w:ascii="Arial" w:hAnsi="Arial" w:cs="Arial"/>
          <w:sz w:val="21"/>
          <w:szCs w:val="21"/>
        </w:rPr>
        <w:t xml:space="preserve">the Respondent’s objections to ADR are bona fide, for example, it is clear that the Applicant is initiating the process for purely 'self-serving' reasons; </w:t>
      </w:r>
    </w:p>
    <w:p w14:paraId="242FB8C9" w14:textId="77777777" w:rsidR="007D0E5B" w:rsidRPr="007D0E5B" w:rsidRDefault="007D0E5B" w:rsidP="007D0E5B">
      <w:pPr>
        <w:numPr>
          <w:ilvl w:val="0"/>
          <w:numId w:val="9"/>
        </w:numPr>
        <w:spacing w:before="120" w:after="120" w:line="264" w:lineRule="auto"/>
        <w:rPr>
          <w:rFonts w:ascii="Arial" w:hAnsi="Arial" w:cs="Arial"/>
          <w:sz w:val="21"/>
          <w:szCs w:val="21"/>
        </w:rPr>
      </w:pPr>
      <w:r w:rsidRPr="007D0E5B">
        <w:rPr>
          <w:rFonts w:ascii="Arial" w:hAnsi="Arial" w:cs="Arial"/>
          <w:sz w:val="21"/>
          <w:szCs w:val="21"/>
        </w:rPr>
        <w:t xml:space="preserve">the nature of the dispute is such that it is more appropriately addressed in another forum. For example, there is another statutory process through which the complaint should be resolved; </w:t>
      </w:r>
    </w:p>
    <w:p w14:paraId="55D0B61C" w14:textId="77777777" w:rsidR="007D0E5B" w:rsidRPr="007D0E5B" w:rsidRDefault="007D0E5B" w:rsidP="007D0E5B">
      <w:pPr>
        <w:numPr>
          <w:ilvl w:val="0"/>
          <w:numId w:val="9"/>
        </w:numPr>
        <w:spacing w:before="120" w:after="120" w:line="264" w:lineRule="auto"/>
        <w:rPr>
          <w:rFonts w:ascii="Arial" w:hAnsi="Arial" w:cs="Arial"/>
          <w:sz w:val="21"/>
          <w:szCs w:val="21"/>
        </w:rPr>
      </w:pPr>
      <w:r w:rsidRPr="007D0E5B">
        <w:rPr>
          <w:rFonts w:ascii="Arial" w:hAnsi="Arial" w:cs="Arial"/>
          <w:sz w:val="21"/>
          <w:szCs w:val="21"/>
        </w:rPr>
        <w:t xml:space="preserve">the Respondent business or non-profit organisation is insolvent, or ceases to carry on business; </w:t>
      </w:r>
    </w:p>
    <w:p w14:paraId="42E727C3" w14:textId="77777777" w:rsidR="007D0E5B" w:rsidRPr="007D0E5B" w:rsidRDefault="007D0E5B" w:rsidP="007D0E5B">
      <w:pPr>
        <w:numPr>
          <w:ilvl w:val="0"/>
          <w:numId w:val="9"/>
        </w:numPr>
        <w:spacing w:before="120" w:after="120" w:line="264" w:lineRule="auto"/>
        <w:rPr>
          <w:rFonts w:ascii="Arial" w:hAnsi="Arial" w:cs="Arial"/>
          <w:sz w:val="21"/>
          <w:szCs w:val="21"/>
        </w:rPr>
      </w:pPr>
      <w:r w:rsidRPr="007D0E5B">
        <w:rPr>
          <w:rFonts w:ascii="Arial" w:hAnsi="Arial" w:cs="Arial"/>
          <w:sz w:val="21"/>
          <w:szCs w:val="21"/>
        </w:rPr>
        <w:t xml:space="preserve">the conduct of the Applicant is such that it clearly does not have a serious intention to participate in ADR. For example, it is objecting to the appointment of a mediator, the timing of mediation, the terms of the </w:t>
      </w:r>
      <w:r w:rsidRPr="007D0E5B">
        <w:rPr>
          <w:rFonts w:ascii="Arial" w:hAnsi="Arial" w:cs="Arial"/>
          <w:i/>
          <w:iCs/>
          <w:sz w:val="21"/>
          <w:szCs w:val="21"/>
        </w:rPr>
        <w:t>Mediation Agreement</w:t>
      </w:r>
      <w:r w:rsidRPr="007D0E5B">
        <w:rPr>
          <w:rFonts w:ascii="Arial" w:hAnsi="Arial" w:cs="Arial"/>
          <w:sz w:val="21"/>
          <w:szCs w:val="21"/>
        </w:rPr>
        <w:t xml:space="preserve">, or engaging in a pattern of behaviour of making and withdrawing offers; </w:t>
      </w:r>
    </w:p>
    <w:p w14:paraId="38ED4AA4" w14:textId="77777777" w:rsidR="007D0E5B" w:rsidRPr="007D0E5B" w:rsidRDefault="007D0E5B" w:rsidP="007D0E5B">
      <w:pPr>
        <w:numPr>
          <w:ilvl w:val="0"/>
          <w:numId w:val="9"/>
        </w:numPr>
        <w:spacing w:before="120" w:after="120" w:line="264" w:lineRule="auto"/>
        <w:rPr>
          <w:rFonts w:ascii="Arial" w:hAnsi="Arial" w:cs="Arial"/>
          <w:sz w:val="21"/>
          <w:szCs w:val="21"/>
        </w:rPr>
      </w:pPr>
      <w:r w:rsidRPr="007D0E5B">
        <w:rPr>
          <w:rFonts w:ascii="Arial" w:hAnsi="Arial" w:cs="Arial"/>
          <w:sz w:val="21"/>
          <w:szCs w:val="21"/>
        </w:rPr>
        <w:t xml:space="preserve">the Applicant does not identify the issue/s in dispute, or there is no apparent cause of action triggering a dispute. For example, the claim is too generic for a reasonable person to understand the alleged problem, or the dispute presented suggests that the named Respondent is not the appropriate party to the dispute. </w:t>
      </w:r>
    </w:p>
    <w:p w14:paraId="02555783" w14:textId="77777777" w:rsidR="007D0E5B" w:rsidRPr="007D0E5B" w:rsidRDefault="007D0E5B" w:rsidP="007D0E5B">
      <w:pPr>
        <w:spacing w:before="120" w:after="120" w:line="264" w:lineRule="auto"/>
        <w:rPr>
          <w:rFonts w:ascii="Arial" w:hAnsi="Arial" w:cs="Arial"/>
          <w:sz w:val="21"/>
          <w:szCs w:val="21"/>
        </w:rPr>
      </w:pPr>
      <w:r w:rsidRPr="007D0E5B">
        <w:rPr>
          <w:rFonts w:ascii="Arial" w:hAnsi="Arial" w:cs="Arial"/>
          <w:sz w:val="21"/>
          <w:szCs w:val="21"/>
        </w:rPr>
        <w:t xml:space="preserve">On the other hand, refusal to participate in ADR may be considered unreasonable where: </w:t>
      </w:r>
    </w:p>
    <w:p w14:paraId="1F0AFF94" w14:textId="77777777" w:rsidR="007D0E5B" w:rsidRPr="007D0E5B" w:rsidRDefault="007D0E5B" w:rsidP="007D0E5B">
      <w:pPr>
        <w:numPr>
          <w:ilvl w:val="0"/>
          <w:numId w:val="9"/>
        </w:numPr>
        <w:spacing w:before="120" w:after="120" w:line="264" w:lineRule="auto"/>
        <w:rPr>
          <w:rFonts w:ascii="Arial" w:hAnsi="Arial" w:cs="Arial"/>
          <w:sz w:val="21"/>
          <w:szCs w:val="21"/>
        </w:rPr>
      </w:pPr>
      <w:r w:rsidRPr="007D0E5B">
        <w:rPr>
          <w:rFonts w:ascii="Arial" w:hAnsi="Arial" w:cs="Arial"/>
          <w:sz w:val="21"/>
          <w:szCs w:val="21"/>
        </w:rPr>
        <w:t xml:space="preserve">refusal is because ADR will involve a payment of money or allocation of time which the party is not willing to contemplate; </w:t>
      </w:r>
    </w:p>
    <w:p w14:paraId="03FB9315" w14:textId="77777777" w:rsidR="007D0E5B" w:rsidRPr="007D0E5B" w:rsidRDefault="007D0E5B" w:rsidP="007D0E5B">
      <w:pPr>
        <w:numPr>
          <w:ilvl w:val="0"/>
          <w:numId w:val="9"/>
        </w:numPr>
        <w:spacing w:before="120" w:after="120" w:line="264" w:lineRule="auto"/>
        <w:rPr>
          <w:rFonts w:ascii="Arial" w:hAnsi="Arial" w:cs="Arial"/>
          <w:sz w:val="21"/>
          <w:szCs w:val="21"/>
        </w:rPr>
      </w:pPr>
      <w:r w:rsidRPr="007D0E5B">
        <w:rPr>
          <w:rFonts w:ascii="Arial" w:hAnsi="Arial" w:cs="Arial"/>
          <w:sz w:val="21"/>
          <w:szCs w:val="21"/>
        </w:rPr>
        <w:t xml:space="preserve">refusal is motivated by completely commercial considerations unrelated to the dispute; </w:t>
      </w:r>
    </w:p>
    <w:p w14:paraId="65464D97" w14:textId="77777777" w:rsidR="007D0E5B" w:rsidRPr="007D0E5B" w:rsidRDefault="007D0E5B" w:rsidP="007D0E5B">
      <w:pPr>
        <w:numPr>
          <w:ilvl w:val="0"/>
          <w:numId w:val="9"/>
        </w:numPr>
        <w:spacing w:before="120" w:after="120" w:line="264" w:lineRule="auto"/>
        <w:rPr>
          <w:rFonts w:ascii="Arial" w:hAnsi="Arial" w:cs="Arial"/>
          <w:sz w:val="21"/>
          <w:szCs w:val="21"/>
        </w:rPr>
      </w:pPr>
      <w:r w:rsidRPr="007D0E5B">
        <w:rPr>
          <w:rFonts w:ascii="Arial" w:hAnsi="Arial" w:cs="Arial"/>
          <w:sz w:val="21"/>
          <w:szCs w:val="21"/>
        </w:rPr>
        <w:t xml:space="preserve">the dispute is of a kind that lends itself to ADR but the Respondent acts as if their case is so watertight it does not need to engage in ADR, or suggests the dispute is too complex for ADR, or demands the Applicant litigate the matter; </w:t>
      </w:r>
    </w:p>
    <w:p w14:paraId="551B8633" w14:textId="77777777" w:rsidR="007D0E5B" w:rsidRPr="007D0E5B" w:rsidRDefault="007D0E5B" w:rsidP="007D0E5B">
      <w:pPr>
        <w:numPr>
          <w:ilvl w:val="0"/>
          <w:numId w:val="9"/>
        </w:numPr>
        <w:spacing w:before="120" w:after="120" w:line="264" w:lineRule="auto"/>
        <w:rPr>
          <w:rFonts w:ascii="Arial" w:hAnsi="Arial" w:cs="Arial"/>
          <w:sz w:val="21"/>
          <w:szCs w:val="21"/>
        </w:rPr>
      </w:pPr>
      <w:r w:rsidRPr="007D0E5B">
        <w:rPr>
          <w:rFonts w:ascii="Arial" w:hAnsi="Arial" w:cs="Arial"/>
          <w:sz w:val="21"/>
          <w:szCs w:val="21"/>
        </w:rPr>
        <w:t xml:space="preserve">the Respondent fails to accept the jurisdiction of the VSBC to provide ADR services to try to resolve the dispute; </w:t>
      </w:r>
    </w:p>
    <w:p w14:paraId="1BF84565" w14:textId="77777777" w:rsidR="007D0E5B" w:rsidRPr="007D0E5B" w:rsidRDefault="007D0E5B" w:rsidP="007D0E5B">
      <w:pPr>
        <w:numPr>
          <w:ilvl w:val="0"/>
          <w:numId w:val="9"/>
        </w:numPr>
        <w:spacing w:before="120" w:after="120" w:line="264" w:lineRule="auto"/>
        <w:rPr>
          <w:rFonts w:ascii="Arial" w:hAnsi="Arial" w:cs="Arial"/>
          <w:sz w:val="21"/>
          <w:szCs w:val="21"/>
        </w:rPr>
      </w:pPr>
      <w:r w:rsidRPr="007D0E5B">
        <w:rPr>
          <w:rFonts w:ascii="Arial" w:hAnsi="Arial" w:cs="Arial"/>
          <w:sz w:val="21"/>
          <w:szCs w:val="21"/>
        </w:rPr>
        <w:t xml:space="preserve">the Respondent consistently avoids taking telephone calls, fails to participate in a telephone call, fails to respond to mail or email, is abusive and rude, or unreasonably ends a telephone call. </w:t>
      </w:r>
    </w:p>
    <w:p w14:paraId="1E8AF8A1" w14:textId="77777777" w:rsidR="007D0E5B" w:rsidRPr="007D0E5B" w:rsidRDefault="007D0E5B" w:rsidP="007D0E5B">
      <w:pPr>
        <w:spacing w:before="120" w:after="120" w:line="264" w:lineRule="auto"/>
        <w:rPr>
          <w:rFonts w:ascii="Arial" w:hAnsi="Arial" w:cs="Arial"/>
          <w:sz w:val="21"/>
          <w:szCs w:val="21"/>
        </w:rPr>
      </w:pPr>
      <w:r w:rsidRPr="007D0E5B">
        <w:rPr>
          <w:rFonts w:ascii="Arial" w:hAnsi="Arial" w:cs="Arial"/>
          <w:sz w:val="21"/>
          <w:szCs w:val="21"/>
        </w:rPr>
        <w:t xml:space="preserve">In all cases, the specific circumstances of the dispute must be taken into account in determining whether refusal is reasonable or unreasonable. </w:t>
      </w:r>
    </w:p>
    <w:p w14:paraId="5470F029" w14:textId="77777777" w:rsidR="007D0E5B" w:rsidRPr="00F52594" w:rsidRDefault="007D0E5B" w:rsidP="00F52594">
      <w:pPr>
        <w:spacing w:before="240" w:after="120" w:line="264" w:lineRule="auto"/>
        <w:rPr>
          <w:rFonts w:ascii="Arial" w:hAnsi="Arial" w:cs="Arial"/>
          <w:color w:val="0081C6"/>
        </w:rPr>
      </w:pPr>
      <w:r w:rsidRPr="00F52594">
        <w:rPr>
          <w:rFonts w:ascii="Arial" w:hAnsi="Arial" w:cs="Arial"/>
          <w:color w:val="0081C6"/>
        </w:rPr>
        <w:t xml:space="preserve">Publication in Annual Report of name of Respondent where unreasonable refusal to participate in ADR has been certified </w:t>
      </w:r>
    </w:p>
    <w:p w14:paraId="0BBA2D2A" w14:textId="77777777" w:rsidR="007D0E5B" w:rsidRDefault="007D0E5B" w:rsidP="007D0E5B">
      <w:pPr>
        <w:spacing w:before="120" w:after="120" w:line="264" w:lineRule="auto"/>
        <w:rPr>
          <w:rFonts w:ascii="Arial" w:hAnsi="Arial" w:cs="Arial"/>
          <w:sz w:val="21"/>
          <w:szCs w:val="21"/>
        </w:rPr>
      </w:pPr>
      <w:r w:rsidRPr="007D0E5B">
        <w:rPr>
          <w:rFonts w:ascii="Arial" w:hAnsi="Arial" w:cs="Arial"/>
          <w:sz w:val="21"/>
          <w:szCs w:val="21"/>
        </w:rPr>
        <w:t xml:space="preserve">The general practice of the VSBC is to publish in its Annual Report the details of all certificates that have been issued to a party to a dispute who has unreasonably refused to participate in ADR (s 16(4)). This leads to improved reporting as to the outcome of ADR, and also discourages unreasonable refusal to participate. </w:t>
      </w:r>
    </w:p>
    <w:p w14:paraId="56ADFBDB" w14:textId="77777777" w:rsidR="007D0E5B" w:rsidRPr="007D0E5B" w:rsidRDefault="007D0E5B" w:rsidP="007D0E5B">
      <w:pPr>
        <w:spacing w:before="120" w:after="120" w:line="264" w:lineRule="auto"/>
        <w:rPr>
          <w:rFonts w:ascii="Arial" w:hAnsi="Arial" w:cs="Arial"/>
          <w:sz w:val="21"/>
          <w:szCs w:val="21"/>
        </w:rPr>
      </w:pPr>
      <w:r w:rsidRPr="007D0E5B">
        <w:rPr>
          <w:rFonts w:ascii="Arial" w:hAnsi="Arial" w:cs="Arial"/>
          <w:sz w:val="21"/>
          <w:szCs w:val="21"/>
        </w:rPr>
        <w:lastRenderedPageBreak/>
        <w:t xml:space="preserve">The publication of such details is limited to the name of the Respondent business or government or non- profit entity which has unreasonably refused to participate in ADR. As a general rule, the details of the parties will not include the names of the individual or individuals representing that business or other entity. </w:t>
      </w:r>
    </w:p>
    <w:p w14:paraId="6BA3D334" w14:textId="77777777" w:rsidR="007D0E5B" w:rsidRPr="007D0E5B" w:rsidRDefault="007D0E5B" w:rsidP="007D0E5B">
      <w:pPr>
        <w:spacing w:before="120" w:after="120" w:line="264" w:lineRule="auto"/>
        <w:rPr>
          <w:rFonts w:ascii="Arial" w:hAnsi="Arial" w:cs="Arial"/>
          <w:sz w:val="21"/>
          <w:szCs w:val="21"/>
        </w:rPr>
      </w:pPr>
      <w:r w:rsidRPr="007D0E5B">
        <w:rPr>
          <w:rFonts w:ascii="Arial" w:hAnsi="Arial" w:cs="Arial"/>
          <w:sz w:val="21"/>
          <w:szCs w:val="21"/>
        </w:rPr>
        <w:t xml:space="preserve">Generally, the VSBC must not include in the Annual Report any information that would identify any person who is not the subject of any adverse comment or opinion, other than the party identified in a certificate as unreasonably refusing to participate in ADR (s 16(8)). </w:t>
      </w:r>
    </w:p>
    <w:p w14:paraId="06EA5925" w14:textId="77777777" w:rsidR="007D0E5B" w:rsidRPr="007D0E5B" w:rsidRDefault="007D0E5B" w:rsidP="007D0E5B">
      <w:pPr>
        <w:spacing w:before="120" w:after="120" w:line="264" w:lineRule="auto"/>
        <w:rPr>
          <w:rFonts w:ascii="Arial" w:hAnsi="Arial" w:cs="Arial"/>
          <w:sz w:val="21"/>
          <w:szCs w:val="21"/>
        </w:rPr>
      </w:pPr>
      <w:r w:rsidRPr="007D0E5B">
        <w:rPr>
          <w:rFonts w:ascii="Arial" w:hAnsi="Arial" w:cs="Arial"/>
          <w:sz w:val="21"/>
          <w:szCs w:val="21"/>
        </w:rPr>
        <w:t xml:space="preserve">However, every Respondent in respect of whom a certificate of unreasonable refusal has been issued is given the opportunity to submit to the VSBC reasons why the details of the certificate should not be published in the Annual Report. The VSBC will consider the reasons before making a decision. </w:t>
      </w:r>
    </w:p>
    <w:p w14:paraId="676A9F9B" w14:textId="77777777" w:rsidR="007D0E5B" w:rsidRPr="00F52594" w:rsidRDefault="007D0E5B" w:rsidP="00F52594">
      <w:pPr>
        <w:spacing w:before="240" w:after="120" w:line="264" w:lineRule="auto"/>
        <w:rPr>
          <w:rFonts w:ascii="Arial" w:hAnsi="Arial" w:cs="Arial"/>
        </w:rPr>
      </w:pPr>
      <w:r w:rsidRPr="00F52594">
        <w:rPr>
          <w:rFonts w:ascii="Arial" w:hAnsi="Arial" w:cs="Arial"/>
          <w:color w:val="0081C6"/>
        </w:rPr>
        <w:t xml:space="preserve">VSBC Process – ADR, certificates and Annual Report </w:t>
      </w:r>
    </w:p>
    <w:p w14:paraId="0079DBDF" w14:textId="77777777" w:rsidR="007D0E5B" w:rsidRPr="007D0E5B" w:rsidRDefault="007D0E5B" w:rsidP="007D0E5B">
      <w:pPr>
        <w:spacing w:before="120" w:after="120" w:line="264" w:lineRule="auto"/>
        <w:rPr>
          <w:rFonts w:ascii="Arial" w:hAnsi="Arial" w:cs="Arial"/>
          <w:sz w:val="21"/>
          <w:szCs w:val="21"/>
        </w:rPr>
      </w:pPr>
      <w:r w:rsidRPr="007D0E5B">
        <w:rPr>
          <w:rFonts w:ascii="Arial" w:hAnsi="Arial" w:cs="Arial"/>
          <w:sz w:val="21"/>
          <w:szCs w:val="21"/>
        </w:rPr>
        <w:t xml:space="preserve">The VSBC will contact the Respondent by letter or email in the first instance, bringing the dispute to its attention, informing it of the role of the VSBC in providing ADR services and of the consequences of unreasonable refusal to participate in ADR, referring it to these </w:t>
      </w:r>
      <w:r w:rsidRPr="007D0E5B">
        <w:rPr>
          <w:rFonts w:ascii="Arial" w:hAnsi="Arial" w:cs="Arial"/>
          <w:i/>
          <w:iCs/>
          <w:sz w:val="21"/>
          <w:szCs w:val="21"/>
        </w:rPr>
        <w:t>Guidelines</w:t>
      </w:r>
      <w:r w:rsidRPr="007D0E5B">
        <w:rPr>
          <w:rFonts w:ascii="Arial" w:hAnsi="Arial" w:cs="Arial"/>
          <w:sz w:val="21"/>
          <w:szCs w:val="21"/>
        </w:rPr>
        <w:t xml:space="preserve">, and requiring a response within 10 days. </w:t>
      </w:r>
    </w:p>
    <w:p w14:paraId="5DF4B654" w14:textId="77777777" w:rsidR="007D0E5B" w:rsidRPr="007D0E5B" w:rsidRDefault="007D0E5B" w:rsidP="007D0E5B">
      <w:pPr>
        <w:spacing w:before="120" w:after="120" w:line="264" w:lineRule="auto"/>
        <w:rPr>
          <w:rFonts w:ascii="Arial" w:hAnsi="Arial" w:cs="Arial"/>
          <w:sz w:val="21"/>
          <w:szCs w:val="21"/>
        </w:rPr>
      </w:pPr>
      <w:r w:rsidRPr="007D0E5B">
        <w:rPr>
          <w:rFonts w:ascii="Arial" w:hAnsi="Arial" w:cs="Arial"/>
          <w:sz w:val="21"/>
          <w:szCs w:val="21"/>
        </w:rPr>
        <w:t xml:space="preserve">If no response is received, reasonable efforts will be made to contact the Respondent. </w:t>
      </w:r>
    </w:p>
    <w:p w14:paraId="100396D3" w14:textId="77777777" w:rsidR="007D0E5B" w:rsidRPr="007D0E5B" w:rsidRDefault="007D0E5B" w:rsidP="007D0E5B">
      <w:pPr>
        <w:spacing w:before="120" w:after="120" w:line="264" w:lineRule="auto"/>
        <w:rPr>
          <w:rFonts w:ascii="Arial" w:hAnsi="Arial" w:cs="Arial"/>
          <w:sz w:val="21"/>
          <w:szCs w:val="21"/>
        </w:rPr>
      </w:pPr>
      <w:r w:rsidRPr="007D0E5B">
        <w:rPr>
          <w:rFonts w:ascii="Arial" w:hAnsi="Arial" w:cs="Arial"/>
          <w:sz w:val="21"/>
          <w:szCs w:val="21"/>
        </w:rPr>
        <w:t xml:space="preserve">In instances of refusal, the VSBC will form a view as to whether the refusal to participate in ADR is </w:t>
      </w:r>
      <w:r w:rsidRPr="007D0E5B">
        <w:rPr>
          <w:rFonts w:ascii="Arial" w:hAnsi="Arial" w:cs="Arial"/>
          <w:i/>
          <w:iCs/>
          <w:sz w:val="21"/>
          <w:szCs w:val="21"/>
        </w:rPr>
        <w:t>unreasonable</w:t>
      </w:r>
      <w:r w:rsidRPr="007D0E5B">
        <w:rPr>
          <w:rFonts w:ascii="Arial" w:hAnsi="Arial" w:cs="Arial"/>
          <w:sz w:val="21"/>
          <w:szCs w:val="21"/>
        </w:rPr>
        <w:t xml:space="preserve">, based on the response or non-response of the Respondent and the other material available about the circumstances of the case. </w:t>
      </w:r>
    </w:p>
    <w:p w14:paraId="74BDE794" w14:textId="77777777" w:rsidR="007D0E5B" w:rsidRPr="007D0E5B" w:rsidRDefault="007D0E5B" w:rsidP="007D0E5B">
      <w:pPr>
        <w:spacing w:before="120" w:after="120" w:line="264" w:lineRule="auto"/>
        <w:rPr>
          <w:rFonts w:ascii="Arial" w:hAnsi="Arial" w:cs="Arial"/>
          <w:sz w:val="21"/>
          <w:szCs w:val="21"/>
        </w:rPr>
      </w:pPr>
      <w:r w:rsidRPr="007D0E5B">
        <w:rPr>
          <w:rFonts w:ascii="Arial" w:hAnsi="Arial" w:cs="Arial"/>
          <w:sz w:val="21"/>
          <w:szCs w:val="21"/>
        </w:rPr>
        <w:t xml:space="preserve">Where it is considered that there has been unreasonable refusal, the VSBC will write to the Respondent notifying it that the VSBC intends to issue a certificate certifying that the Respondent has unreasonably refused to participate in ADR, provide information of the consequences of that certification, and provide a further 10 days to participate in ADR. </w:t>
      </w:r>
    </w:p>
    <w:p w14:paraId="346A0B2F" w14:textId="77777777" w:rsidR="007D0E5B" w:rsidRPr="007D0E5B" w:rsidRDefault="007D0E5B" w:rsidP="007D0E5B">
      <w:pPr>
        <w:spacing w:before="120" w:after="120" w:line="264" w:lineRule="auto"/>
        <w:rPr>
          <w:rFonts w:ascii="Arial" w:hAnsi="Arial" w:cs="Arial"/>
          <w:sz w:val="21"/>
          <w:szCs w:val="21"/>
        </w:rPr>
      </w:pPr>
      <w:r w:rsidRPr="007D0E5B">
        <w:rPr>
          <w:rFonts w:ascii="Arial" w:hAnsi="Arial" w:cs="Arial"/>
          <w:sz w:val="21"/>
          <w:szCs w:val="21"/>
        </w:rPr>
        <w:t xml:space="preserve">If the Respondent does not agree to participate in ADR within these 10 days, the VSBC will write to the Respondent informing it of the VSBC decision that there has been unreasonable refusal to participate in ADR, and provide a copy of the certificate. A copy will also be provided to the Applicant. The Respondent will be given a further 21 days to give reasons why the details of the certificate (that is, its name) should not be included in the Annual Report (s 16(5)). </w:t>
      </w:r>
    </w:p>
    <w:p w14:paraId="633BCBA2" w14:textId="77777777" w:rsidR="007D0E5B" w:rsidRPr="007D0E5B" w:rsidRDefault="007D0E5B" w:rsidP="007D0E5B">
      <w:pPr>
        <w:spacing w:before="120" w:after="120" w:line="264" w:lineRule="auto"/>
        <w:rPr>
          <w:rFonts w:ascii="Arial" w:hAnsi="Arial" w:cs="Arial"/>
          <w:sz w:val="21"/>
          <w:szCs w:val="21"/>
        </w:rPr>
      </w:pPr>
      <w:r w:rsidRPr="007D0E5B">
        <w:rPr>
          <w:rFonts w:ascii="Arial" w:hAnsi="Arial" w:cs="Arial"/>
          <w:sz w:val="21"/>
          <w:szCs w:val="21"/>
        </w:rPr>
        <w:t xml:space="preserve">After having considered the response (if any) from the Respondent, the VSBC will write to the Respondent notifying its decision to publish (or not to publish) the details of the certificate in the Annual Report. </w:t>
      </w:r>
    </w:p>
    <w:p w14:paraId="053356ED" w14:textId="654D78F2" w:rsidR="00B63C3B" w:rsidRPr="00F52594" w:rsidRDefault="00B63C3B" w:rsidP="00F52594">
      <w:pPr>
        <w:spacing w:before="240" w:after="120" w:line="264" w:lineRule="auto"/>
        <w:rPr>
          <w:rFonts w:ascii="Arial" w:hAnsi="Arial" w:cs="Arial"/>
          <w:color w:val="0081C6"/>
        </w:rPr>
      </w:pPr>
      <w:r w:rsidRPr="00F52594">
        <w:rPr>
          <w:rFonts w:ascii="Arial" w:hAnsi="Arial" w:cs="Arial"/>
          <w:color w:val="0081C6"/>
        </w:rPr>
        <w:t xml:space="preserve">For more information contact the VSBC </w:t>
      </w:r>
    </w:p>
    <w:p w14:paraId="4C4B1819" w14:textId="77777777" w:rsidR="00FB3C5B" w:rsidRDefault="00FB3C5B" w:rsidP="00FB3C5B">
      <w:pPr>
        <w:spacing w:before="120" w:after="120" w:line="264" w:lineRule="auto"/>
        <w:rPr>
          <w:rFonts w:ascii="Arial" w:hAnsi="Arial" w:cs="Arial"/>
          <w:sz w:val="21"/>
          <w:szCs w:val="21"/>
        </w:rPr>
      </w:pPr>
      <w:r>
        <w:rPr>
          <w:rFonts w:ascii="Arial" w:hAnsi="Arial" w:cs="Arial"/>
          <w:sz w:val="21"/>
          <w:szCs w:val="21"/>
        </w:rPr>
        <w:t xml:space="preserve">Level 2, </w:t>
      </w:r>
      <w:r w:rsidRPr="00B63C3B">
        <w:rPr>
          <w:rFonts w:ascii="Arial" w:hAnsi="Arial" w:cs="Arial"/>
          <w:sz w:val="21"/>
          <w:szCs w:val="21"/>
        </w:rPr>
        <w:t xml:space="preserve">121 Exhibition Street Melbourne Victoria 3000 </w:t>
      </w:r>
    </w:p>
    <w:p w14:paraId="1C0A2571" w14:textId="77E862D3" w:rsidR="00FB3C5B" w:rsidRDefault="00FB3C5B" w:rsidP="00FB3C5B">
      <w:pPr>
        <w:spacing w:before="120" w:after="120" w:line="264" w:lineRule="auto"/>
        <w:rPr>
          <w:rFonts w:ascii="Arial" w:hAnsi="Arial" w:cs="Arial"/>
          <w:sz w:val="21"/>
          <w:szCs w:val="21"/>
        </w:rPr>
      </w:pPr>
      <w:r w:rsidRPr="00B434A6">
        <w:rPr>
          <w:rFonts w:ascii="Arial" w:hAnsi="Arial" w:cs="Arial"/>
          <w:sz w:val="21"/>
          <w:szCs w:val="21"/>
        </w:rPr>
        <w:t>GPO Box 4509</w:t>
      </w:r>
      <w:r>
        <w:rPr>
          <w:rFonts w:ascii="Arial" w:hAnsi="Arial" w:cs="Arial"/>
          <w:sz w:val="21"/>
          <w:szCs w:val="21"/>
        </w:rPr>
        <w:t xml:space="preserve"> </w:t>
      </w:r>
      <w:r w:rsidRPr="00B434A6">
        <w:rPr>
          <w:rFonts w:ascii="Arial" w:hAnsi="Arial" w:cs="Arial"/>
          <w:sz w:val="21"/>
          <w:szCs w:val="21"/>
        </w:rPr>
        <w:t>Melbourne Victoria 3001</w:t>
      </w:r>
    </w:p>
    <w:p w14:paraId="7F00584B" w14:textId="3FA03A13" w:rsidR="00FB3C5B" w:rsidRDefault="00FB3C5B" w:rsidP="00FB3C5B">
      <w:pPr>
        <w:spacing w:before="120" w:after="120" w:line="264" w:lineRule="auto"/>
        <w:rPr>
          <w:rFonts w:ascii="Arial" w:hAnsi="Arial" w:cs="Arial"/>
          <w:sz w:val="21"/>
          <w:szCs w:val="21"/>
        </w:rPr>
      </w:pPr>
      <w:r>
        <w:rPr>
          <w:rFonts w:ascii="Arial" w:hAnsi="Arial" w:cs="Arial"/>
          <w:sz w:val="21"/>
          <w:szCs w:val="21"/>
        </w:rPr>
        <w:t xml:space="preserve">Telephone </w:t>
      </w:r>
      <w:r w:rsidRPr="00B63C3B">
        <w:rPr>
          <w:rFonts w:ascii="Arial" w:hAnsi="Arial" w:cs="Arial"/>
          <w:sz w:val="21"/>
          <w:szCs w:val="21"/>
        </w:rPr>
        <w:t>1800 878 964</w:t>
      </w:r>
    </w:p>
    <w:p w14:paraId="2CDEEB94" w14:textId="2A7402E8" w:rsidR="00FB3C5B" w:rsidRDefault="00D82B88" w:rsidP="00FB3C5B">
      <w:pPr>
        <w:spacing w:before="120" w:after="120" w:line="264" w:lineRule="auto"/>
        <w:rPr>
          <w:rFonts w:ascii="Arial" w:hAnsi="Arial" w:cs="Arial"/>
          <w:sz w:val="21"/>
          <w:szCs w:val="21"/>
        </w:rPr>
      </w:pPr>
      <w:hyperlink r:id="rId11" w:history="1">
        <w:r w:rsidR="00FB3C5B" w:rsidRPr="0094155C">
          <w:rPr>
            <w:rStyle w:val="Hyperlink"/>
            <w:rFonts w:cs="Arial"/>
            <w:sz w:val="21"/>
            <w:szCs w:val="21"/>
          </w:rPr>
          <w:t>enquiries@vsbc.vic.gov.au</w:t>
        </w:r>
      </w:hyperlink>
    </w:p>
    <w:p w14:paraId="1D9A6AB6" w14:textId="5A97B3BA" w:rsidR="00B63C3B" w:rsidRPr="00B63C3B" w:rsidRDefault="00D82B88" w:rsidP="00B63C3B">
      <w:pPr>
        <w:spacing w:before="120" w:after="120" w:line="264" w:lineRule="auto"/>
        <w:rPr>
          <w:rFonts w:ascii="Arial" w:hAnsi="Arial" w:cs="Arial"/>
          <w:sz w:val="21"/>
          <w:szCs w:val="21"/>
        </w:rPr>
      </w:pPr>
      <w:hyperlink r:id="rId12" w:history="1">
        <w:r w:rsidR="00FB3C5B" w:rsidRPr="0094155C">
          <w:rPr>
            <w:rStyle w:val="Hyperlink"/>
            <w:rFonts w:cs="Arial"/>
            <w:sz w:val="21"/>
            <w:szCs w:val="21"/>
          </w:rPr>
          <w:t>www.</w:t>
        </w:r>
        <w:r w:rsidR="00FB3C5B" w:rsidRPr="00B63C3B">
          <w:rPr>
            <w:rStyle w:val="Hyperlink"/>
            <w:rFonts w:cs="Arial"/>
            <w:sz w:val="21"/>
            <w:szCs w:val="21"/>
          </w:rPr>
          <w:t>vsbc.vic.gov.au</w:t>
        </w:r>
      </w:hyperlink>
      <w:r w:rsidR="00FB3C5B">
        <w:rPr>
          <w:rFonts w:ascii="Arial" w:hAnsi="Arial" w:cs="Arial"/>
          <w:sz w:val="21"/>
          <w:szCs w:val="21"/>
        </w:rPr>
        <w:t xml:space="preserve"> </w:t>
      </w:r>
      <w:r w:rsidR="00B63C3B" w:rsidRPr="00B63C3B">
        <w:rPr>
          <w:rFonts w:ascii="Arial" w:hAnsi="Arial" w:cs="Arial"/>
          <w:sz w:val="21"/>
          <w:szCs w:val="21"/>
        </w:rPr>
        <w:t xml:space="preserve"> </w:t>
      </w:r>
    </w:p>
    <w:p w14:paraId="12E41278" w14:textId="776F46E3" w:rsidR="00B434A6" w:rsidRPr="00B63C3B" w:rsidRDefault="00B434A6" w:rsidP="00B63C3B">
      <w:pPr>
        <w:spacing w:before="120" w:after="120" w:line="264" w:lineRule="auto"/>
        <w:rPr>
          <w:rFonts w:ascii="Arial" w:hAnsi="Arial" w:cs="Arial"/>
          <w:sz w:val="21"/>
          <w:szCs w:val="21"/>
        </w:rPr>
      </w:pPr>
    </w:p>
    <w:p w14:paraId="2976AE66" w14:textId="77777777" w:rsidR="007D0E5B" w:rsidRPr="007D0E5B" w:rsidRDefault="007D0E5B" w:rsidP="007D0E5B">
      <w:pPr>
        <w:spacing w:before="120" w:after="120" w:line="264" w:lineRule="auto"/>
        <w:rPr>
          <w:rFonts w:ascii="Arial" w:hAnsi="Arial" w:cs="Arial"/>
          <w:sz w:val="21"/>
          <w:szCs w:val="21"/>
        </w:rPr>
      </w:pPr>
    </w:p>
    <w:p w14:paraId="38C3E29B" w14:textId="1C447E00" w:rsidR="005E664A" w:rsidRPr="00B434A6" w:rsidRDefault="005E664A" w:rsidP="001B5267">
      <w:pPr>
        <w:spacing w:before="120" w:after="120" w:line="264" w:lineRule="auto"/>
        <w:rPr>
          <w:rStyle w:val="FollowedHyperlink"/>
        </w:rPr>
      </w:pPr>
    </w:p>
    <w:sectPr w:rsidR="005E664A" w:rsidRPr="00B434A6" w:rsidSect="000019F2">
      <w:headerReference w:type="default" r:id="rId13"/>
      <w:footerReference w:type="even" r:id="rId14"/>
      <w:footerReference w:type="default" r:id="rId15"/>
      <w:pgSz w:w="11906" w:h="16838"/>
      <w:pgMar w:top="199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6C3F9" w14:textId="77777777" w:rsidR="005923FB" w:rsidRDefault="005923FB" w:rsidP="002F29BB">
      <w:r>
        <w:separator/>
      </w:r>
    </w:p>
  </w:endnote>
  <w:endnote w:type="continuationSeparator" w:id="0">
    <w:p w14:paraId="0BC51913" w14:textId="77777777" w:rsidR="005923FB" w:rsidRDefault="005923FB" w:rsidP="002F29BB">
      <w:r>
        <w:continuationSeparator/>
      </w:r>
    </w:p>
  </w:endnote>
  <w:endnote w:type="continuationNotice" w:id="1">
    <w:p w14:paraId="26F40585" w14:textId="77777777" w:rsidR="005923FB" w:rsidRDefault="00592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2532895"/>
      <w:docPartObj>
        <w:docPartGallery w:val="Page Numbers (Bottom of Page)"/>
        <w:docPartUnique/>
      </w:docPartObj>
    </w:sdtPr>
    <w:sdtEndPr>
      <w:rPr>
        <w:rStyle w:val="PageNumber"/>
      </w:rPr>
    </w:sdtEndPr>
    <w:sdtContent>
      <w:p w14:paraId="35E8976B" w14:textId="52C33620" w:rsidR="004C0F86" w:rsidRDefault="004C0F86" w:rsidP="009415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A0B911" w14:textId="77777777" w:rsidR="004C0F86" w:rsidRDefault="004C0F86" w:rsidP="004C0F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DC46" w14:textId="180BAAA7" w:rsidR="004C0F86" w:rsidRDefault="00A74904" w:rsidP="0094155C">
    <w:pPr>
      <w:pStyle w:val="Footer"/>
      <w:framePr w:wrap="none" w:vAnchor="text" w:hAnchor="margin" w:xAlign="right" w:y="1"/>
      <w:rPr>
        <w:rStyle w:val="PageNumber"/>
      </w:rPr>
    </w:pPr>
    <w:r>
      <w:rPr>
        <w:noProof/>
      </w:rPr>
      <mc:AlternateContent>
        <mc:Choice Requires="wps">
          <w:drawing>
            <wp:anchor distT="0" distB="0" distL="114300" distR="114300" simplePos="0" relativeHeight="251659265" behindDoc="0" locked="0" layoutInCell="0" allowOverlap="1" wp14:anchorId="129E7507" wp14:editId="4575753C">
              <wp:simplePos x="0" y="0"/>
              <wp:positionH relativeFrom="page">
                <wp:posOffset>0</wp:posOffset>
              </wp:positionH>
              <wp:positionV relativeFrom="page">
                <wp:posOffset>10248900</wp:posOffset>
              </wp:positionV>
              <wp:extent cx="7560310" cy="252095"/>
              <wp:effectExtent l="0" t="0" r="0" b="14605"/>
              <wp:wrapNone/>
              <wp:docPr id="3" name="MSIPCM7c9a432495b6fef01a77a6af"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6FCD0F" w14:textId="255B266E" w:rsidR="00A74904" w:rsidRPr="00A74904" w:rsidRDefault="00A74904" w:rsidP="00A74904">
                          <w:pPr>
                            <w:jc w:val="center"/>
                            <w:rPr>
                              <w:rFonts w:ascii="Arial" w:hAnsi="Arial" w:cs="Arial"/>
                              <w:color w:val="000000"/>
                            </w:rPr>
                          </w:pPr>
                          <w:r w:rsidRPr="00A7490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9E7507" id="_x0000_t202" coordsize="21600,21600" o:spt="202" path="m,l,21600r21600,l21600,xe">
              <v:stroke joinstyle="miter"/>
              <v:path gradientshapeok="t" o:connecttype="rect"/>
            </v:shapetype>
            <v:shape id="MSIPCM7c9a432495b6fef01a77a6af" o:spid="_x0000_s1028" type="#_x0000_t202" alt="{&quot;HashCode&quot;:376260202,&quot;Height&quot;:841.0,&quot;Width&quot;:595.0,&quot;Placement&quot;:&quot;Footer&quot;,&quot;Index&quot;:&quot;Primary&quot;,&quot;Section&quot;:1,&quot;Top&quot;:0.0,&quot;Left&quot;:0.0}" style="position:absolute;margin-left:0;margin-top:807pt;width:595.3pt;height:19.85pt;z-index:251659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q72cYXAgAAKwQAAA4AAAAAAAAAAAAAAAAALgIAAGRycy9lMm9Eb2MueG1sUEsBAi0AFAAG&#10;AAgAAAAhAF6iDg7fAAAACwEAAA8AAAAAAAAAAAAAAAAAcQQAAGRycy9kb3ducmV2LnhtbFBLBQYA&#10;AAAABAAEAPMAAAB9BQAAAAA=&#10;" o:allowincell="f" filled="f" stroked="f" strokeweight=".5pt">
              <v:fill o:detectmouseclick="t"/>
              <v:textbox inset=",0,,0">
                <w:txbxContent>
                  <w:p w14:paraId="596FCD0F" w14:textId="255B266E" w:rsidR="00A74904" w:rsidRPr="00A74904" w:rsidRDefault="00A74904" w:rsidP="00A74904">
                    <w:pPr>
                      <w:jc w:val="center"/>
                      <w:rPr>
                        <w:rFonts w:ascii="Arial" w:hAnsi="Arial" w:cs="Arial"/>
                        <w:color w:val="000000"/>
                      </w:rPr>
                    </w:pPr>
                    <w:r w:rsidRPr="00A74904">
                      <w:rPr>
                        <w:rFonts w:ascii="Arial" w:hAnsi="Arial" w:cs="Arial"/>
                        <w:color w:val="000000"/>
                      </w:rPr>
                      <w:t>OFFICIAL</w:t>
                    </w:r>
                  </w:p>
                </w:txbxContent>
              </v:textbox>
              <w10:wrap anchorx="page" anchory="page"/>
            </v:shape>
          </w:pict>
        </mc:Fallback>
      </mc:AlternateContent>
    </w:r>
    <w:sdt>
      <w:sdtPr>
        <w:rPr>
          <w:rStyle w:val="PageNumber"/>
        </w:rPr>
        <w:id w:val="-725060443"/>
        <w:docPartObj>
          <w:docPartGallery w:val="Page Numbers (Bottom of Page)"/>
          <w:docPartUnique/>
        </w:docPartObj>
      </w:sdtPr>
      <w:sdtEndPr>
        <w:rPr>
          <w:rStyle w:val="PageNumber"/>
        </w:rPr>
      </w:sdtEndPr>
      <w:sdtContent>
        <w:r w:rsidR="004C0F86" w:rsidRPr="004C0F86">
          <w:rPr>
            <w:rStyle w:val="PageNumber"/>
            <w:rFonts w:ascii="Arial" w:hAnsi="Arial" w:cs="Arial"/>
          </w:rPr>
          <w:fldChar w:fldCharType="begin"/>
        </w:r>
        <w:r w:rsidR="004C0F86" w:rsidRPr="004C0F86">
          <w:rPr>
            <w:rStyle w:val="PageNumber"/>
            <w:rFonts w:ascii="Arial" w:hAnsi="Arial" w:cs="Arial"/>
          </w:rPr>
          <w:instrText xml:space="preserve"> PAGE </w:instrText>
        </w:r>
        <w:r w:rsidR="004C0F86" w:rsidRPr="004C0F86">
          <w:rPr>
            <w:rStyle w:val="PageNumber"/>
            <w:rFonts w:ascii="Arial" w:hAnsi="Arial" w:cs="Arial"/>
          </w:rPr>
          <w:fldChar w:fldCharType="separate"/>
        </w:r>
        <w:r w:rsidR="004C0F86" w:rsidRPr="004C0F86">
          <w:rPr>
            <w:rStyle w:val="PageNumber"/>
            <w:rFonts w:ascii="Arial" w:hAnsi="Arial" w:cs="Arial"/>
            <w:noProof/>
          </w:rPr>
          <w:t>1</w:t>
        </w:r>
        <w:r w:rsidR="004C0F86" w:rsidRPr="004C0F86">
          <w:rPr>
            <w:rStyle w:val="PageNumber"/>
            <w:rFonts w:ascii="Arial" w:hAnsi="Arial" w:cs="Arial"/>
          </w:rPr>
          <w:fldChar w:fldCharType="end"/>
        </w:r>
      </w:sdtContent>
    </w:sdt>
  </w:p>
  <w:p w14:paraId="33D917B5" w14:textId="4044B9CE" w:rsidR="00E23339" w:rsidRPr="007D0E5B" w:rsidRDefault="00004229" w:rsidP="004C0F86">
    <w:pPr>
      <w:pStyle w:val="Footer"/>
      <w:ind w:right="360"/>
      <w:rPr>
        <w:rFonts w:ascii="Arial" w:hAnsi="Arial" w:cs="Arial"/>
        <w:color w:val="000000" w:themeColor="text1"/>
        <w:sz w:val="21"/>
        <w:szCs w:val="21"/>
      </w:rPr>
    </w:pPr>
    <w:r>
      <w:rPr>
        <w:rFonts w:ascii="Arial" w:hAnsi="Arial" w:cs="Arial"/>
        <w:i/>
        <w:iCs/>
        <w:noProof/>
        <w:color w:val="000000" w:themeColor="text1"/>
        <w:sz w:val="21"/>
        <w:szCs w:val="21"/>
      </w:rPr>
      <mc:AlternateContent>
        <mc:Choice Requires="wps">
          <w:drawing>
            <wp:anchor distT="0" distB="0" distL="114300" distR="114300" simplePos="0" relativeHeight="251658240" behindDoc="0" locked="0" layoutInCell="0" allowOverlap="1" wp14:anchorId="1F56658A" wp14:editId="0DB00716">
              <wp:simplePos x="0" y="0"/>
              <wp:positionH relativeFrom="page">
                <wp:posOffset>0</wp:posOffset>
              </wp:positionH>
              <wp:positionV relativeFrom="page">
                <wp:posOffset>10248900</wp:posOffset>
              </wp:positionV>
              <wp:extent cx="7560310" cy="252095"/>
              <wp:effectExtent l="0" t="0" r="0" b="14605"/>
              <wp:wrapNone/>
              <wp:docPr id="1" name="Text Box 1"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4BA211" w14:textId="6CD014AE" w:rsidR="00004229" w:rsidRPr="009A201F" w:rsidRDefault="00004229" w:rsidP="00004229">
                          <w:pPr>
                            <w:jc w:val="center"/>
                            <w:rPr>
                              <w:rFonts w:ascii="Arial" w:hAnsi="Arial" w:cs="Arial"/>
                              <w:color w:val="000000"/>
                              <w:sz w:val="21"/>
                              <w:szCs w:val="21"/>
                            </w:rPr>
                          </w:pPr>
                          <w:r w:rsidRPr="009A201F">
                            <w:rPr>
                              <w:rFonts w:ascii="Arial" w:hAnsi="Arial" w:cs="Arial"/>
                              <w:color w:val="000000"/>
                              <w:sz w:val="21"/>
                              <w:szCs w:val="21"/>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F56658A" id="Text Box 1" o:spid="_x0000_s1029" type="#_x0000_t202" alt="{&quot;HashCode&quot;:376260202,&quot;Height&quot;:841.0,&quot;Width&quot;:595.0,&quot;Placement&quot;:&quot;Footer&quot;,&quot;Index&quot;:&quot;Primary&quot;,&quot;Section&quot;:1,&quot;Top&quot;:0.0,&quot;Left&quot;:0.0}"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5C4BA211" w14:textId="6CD014AE" w:rsidR="00004229" w:rsidRPr="009A201F" w:rsidRDefault="00004229" w:rsidP="00004229">
                    <w:pPr>
                      <w:jc w:val="center"/>
                      <w:rPr>
                        <w:rFonts w:ascii="Arial" w:hAnsi="Arial" w:cs="Arial"/>
                        <w:color w:val="000000"/>
                        <w:sz w:val="21"/>
                        <w:szCs w:val="21"/>
                      </w:rPr>
                    </w:pPr>
                    <w:r w:rsidRPr="009A201F">
                      <w:rPr>
                        <w:rFonts w:ascii="Arial" w:hAnsi="Arial" w:cs="Arial"/>
                        <w:color w:val="000000"/>
                        <w:sz w:val="21"/>
                        <w:szCs w:val="21"/>
                      </w:rPr>
                      <w:t>OFFICIAL</w:t>
                    </w:r>
                  </w:p>
                </w:txbxContent>
              </v:textbox>
              <w10:wrap anchorx="page" anchory="page"/>
            </v:shape>
          </w:pict>
        </mc:Fallback>
      </mc:AlternateContent>
    </w:r>
  </w:p>
  <w:p w14:paraId="789567DC" w14:textId="77777777" w:rsidR="000019F2" w:rsidRDefault="00001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54A77" w14:textId="77777777" w:rsidR="005923FB" w:rsidRDefault="005923FB" w:rsidP="002F29BB">
      <w:r>
        <w:separator/>
      </w:r>
    </w:p>
  </w:footnote>
  <w:footnote w:type="continuationSeparator" w:id="0">
    <w:p w14:paraId="2CD86D47" w14:textId="77777777" w:rsidR="005923FB" w:rsidRDefault="005923FB" w:rsidP="002F29BB">
      <w:r>
        <w:continuationSeparator/>
      </w:r>
    </w:p>
  </w:footnote>
  <w:footnote w:type="continuationNotice" w:id="1">
    <w:p w14:paraId="3C9A24F4" w14:textId="77777777" w:rsidR="005923FB" w:rsidRDefault="005923FB"/>
  </w:footnote>
  <w:footnote w:id="2">
    <w:p w14:paraId="429297D2" w14:textId="10BF9D15" w:rsidR="00F149D8" w:rsidRPr="00F149D8" w:rsidRDefault="00F149D8">
      <w:pPr>
        <w:pStyle w:val="FootnoteText"/>
        <w:rPr>
          <w:rFonts w:ascii="Arial" w:hAnsi="Arial" w:cs="Arial"/>
          <w:sz w:val="18"/>
          <w:szCs w:val="18"/>
        </w:rPr>
      </w:pPr>
      <w:r w:rsidRPr="00F149D8">
        <w:rPr>
          <w:rStyle w:val="FootnoteReference"/>
          <w:rFonts w:ascii="Arial" w:hAnsi="Arial" w:cs="Arial"/>
          <w:sz w:val="18"/>
          <w:szCs w:val="18"/>
        </w:rPr>
        <w:footnoteRef/>
      </w:r>
      <w:r w:rsidRPr="00F149D8">
        <w:rPr>
          <w:rFonts w:ascii="Arial" w:hAnsi="Arial" w:cs="Arial"/>
          <w:sz w:val="18"/>
          <w:szCs w:val="18"/>
        </w:rPr>
        <w:t xml:space="preserve"> In the vast majority of cases, it is the Respondent party who will be refusing to participate in ADR. These </w:t>
      </w:r>
      <w:r w:rsidRPr="005A3C50">
        <w:rPr>
          <w:rFonts w:ascii="Arial" w:hAnsi="Arial" w:cs="Arial"/>
          <w:i/>
          <w:iCs/>
          <w:sz w:val="18"/>
          <w:szCs w:val="18"/>
        </w:rPr>
        <w:t>Guidelines</w:t>
      </w:r>
      <w:r w:rsidRPr="00F149D8">
        <w:rPr>
          <w:rFonts w:ascii="Arial" w:hAnsi="Arial" w:cs="Arial"/>
          <w:sz w:val="18"/>
          <w:szCs w:val="18"/>
        </w:rPr>
        <w:t xml:space="preserve"> therefore refer to the Respondent as the refusing party for clarity of reading. However, it can be the Applicant who refuses to participate </w:t>
      </w:r>
      <w:r w:rsidR="005A3C50">
        <w:rPr>
          <w:rFonts w:ascii="Arial" w:hAnsi="Arial" w:cs="Arial"/>
          <w:sz w:val="18"/>
          <w:szCs w:val="18"/>
        </w:rPr>
        <w:t>–</w:t>
      </w:r>
      <w:r w:rsidRPr="00F149D8">
        <w:rPr>
          <w:rFonts w:ascii="Arial" w:hAnsi="Arial" w:cs="Arial"/>
          <w:sz w:val="18"/>
          <w:szCs w:val="18"/>
        </w:rPr>
        <w:t xml:space="preserve"> for example, after lodging a dispute with VSBC, the Applicant refuses to participate in ADR once the Respondent has agreed to do so. These </w:t>
      </w:r>
      <w:r w:rsidRPr="005A3C50">
        <w:rPr>
          <w:rFonts w:ascii="Arial" w:hAnsi="Arial" w:cs="Arial"/>
          <w:i/>
          <w:iCs/>
          <w:sz w:val="18"/>
          <w:szCs w:val="18"/>
        </w:rPr>
        <w:t>Guidelines</w:t>
      </w:r>
      <w:r w:rsidRPr="00F149D8">
        <w:rPr>
          <w:rFonts w:ascii="Arial" w:hAnsi="Arial" w:cs="Arial"/>
          <w:sz w:val="18"/>
          <w:szCs w:val="18"/>
        </w:rPr>
        <w:t xml:space="preserve"> apply to the party refusing, not only the Respondent.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4061" w14:textId="3DA07F7B" w:rsidR="002F29BB" w:rsidRDefault="00A74904" w:rsidP="002F29BB">
    <w:pPr>
      <w:pStyle w:val="Header"/>
    </w:pPr>
    <w:r>
      <w:rPr>
        <w:rFonts w:ascii="Calibri" w:eastAsia="Calibri" w:hAnsi="Calibri" w:cs="Times New Roman"/>
        <w:noProof/>
        <w:sz w:val="22"/>
        <w:szCs w:val="22"/>
        <w:lang w:val="en-US"/>
      </w:rPr>
      <mc:AlternateContent>
        <mc:Choice Requires="wps">
          <w:drawing>
            <wp:anchor distT="0" distB="0" distL="114300" distR="114300" simplePos="0" relativeHeight="251660289" behindDoc="0" locked="0" layoutInCell="0" allowOverlap="1" wp14:anchorId="51475A10" wp14:editId="7ED68E8B">
              <wp:simplePos x="0" y="0"/>
              <wp:positionH relativeFrom="page">
                <wp:posOffset>0</wp:posOffset>
              </wp:positionH>
              <wp:positionV relativeFrom="page">
                <wp:posOffset>190500</wp:posOffset>
              </wp:positionV>
              <wp:extent cx="7560310" cy="252095"/>
              <wp:effectExtent l="0" t="0" r="0" b="14605"/>
              <wp:wrapNone/>
              <wp:docPr id="4" name="MSIPCM44a74604a8d93c870e91fd66"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9005FA" w14:textId="78764B9A" w:rsidR="00A74904" w:rsidRPr="00A74904" w:rsidRDefault="00A74904" w:rsidP="00A74904">
                          <w:pPr>
                            <w:jc w:val="center"/>
                            <w:rPr>
                              <w:rFonts w:ascii="Arial" w:hAnsi="Arial" w:cs="Arial"/>
                              <w:color w:val="000000"/>
                            </w:rPr>
                          </w:pPr>
                          <w:r w:rsidRPr="00A7490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1475A10" id="_x0000_t202" coordsize="21600,21600" o:spt="202" path="m,l,21600r21600,l21600,xe">
              <v:stroke joinstyle="miter"/>
              <v:path gradientshapeok="t" o:connecttype="rect"/>
            </v:shapetype>
            <v:shape id="MSIPCM44a74604a8d93c870e91fd66" o:spid="_x0000_s1026" type="#_x0000_t202" alt="{&quot;HashCode&quot;:352122633,&quot;Height&quot;:841.0,&quot;Width&quot;:595.0,&quot;Placement&quot;:&quot;Header&quot;,&quot;Index&quot;:&quot;Primary&quot;,&quot;Section&quot;:1,&quot;Top&quot;:0.0,&quot;Left&quot;:0.0}" style="position:absolute;margin-left:0;margin-top:15pt;width:595.3pt;height:19.85pt;z-index:25166028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w3Fw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PEfDcXAgAAKwQAAA4AAAAAAAAAAAAAAAAALgIAAGRycy9lMm9Eb2MueG1sUEsBAi0AFAAGAAgA&#10;AAAhAKCK+GTcAAAABwEAAA8AAAAAAAAAAAAAAAAAcQQAAGRycy9kb3ducmV2LnhtbFBLBQYAAAAA&#10;BAAEAPMAAAB6BQAAAAA=&#10;" o:allowincell="f" filled="f" stroked="f" strokeweight=".5pt">
              <v:fill o:detectmouseclick="t"/>
              <v:textbox inset=",0,,0">
                <w:txbxContent>
                  <w:p w14:paraId="1F9005FA" w14:textId="78764B9A" w:rsidR="00A74904" w:rsidRPr="00A74904" w:rsidRDefault="00A74904" w:rsidP="00A74904">
                    <w:pPr>
                      <w:jc w:val="center"/>
                      <w:rPr>
                        <w:rFonts w:ascii="Arial" w:hAnsi="Arial" w:cs="Arial"/>
                        <w:color w:val="000000"/>
                      </w:rPr>
                    </w:pPr>
                    <w:r w:rsidRPr="00A74904">
                      <w:rPr>
                        <w:rFonts w:ascii="Arial" w:hAnsi="Arial" w:cs="Arial"/>
                        <w:color w:val="000000"/>
                      </w:rPr>
                      <w:t>OFFICIAL</w:t>
                    </w:r>
                  </w:p>
                </w:txbxContent>
              </v:textbox>
              <w10:wrap anchorx="page" anchory="page"/>
            </v:shape>
          </w:pict>
        </mc:Fallback>
      </mc:AlternateContent>
    </w:r>
    <w:r w:rsidR="00004229">
      <w:rPr>
        <w:rFonts w:ascii="Calibri" w:eastAsia="Calibri" w:hAnsi="Calibri" w:cs="Times New Roman"/>
        <w:noProof/>
        <w:sz w:val="22"/>
        <w:szCs w:val="22"/>
        <w:lang w:val="en-US"/>
      </w:rPr>
      <mc:AlternateContent>
        <mc:Choice Requires="wps">
          <w:drawing>
            <wp:anchor distT="0" distB="0" distL="114300" distR="114300" simplePos="0" relativeHeight="251658241" behindDoc="0" locked="0" layoutInCell="0" allowOverlap="1" wp14:anchorId="52EE8007" wp14:editId="4AD526CD">
              <wp:simplePos x="0" y="0"/>
              <wp:positionH relativeFrom="page">
                <wp:posOffset>0</wp:posOffset>
              </wp:positionH>
              <wp:positionV relativeFrom="page">
                <wp:posOffset>190500</wp:posOffset>
              </wp:positionV>
              <wp:extent cx="7560310" cy="252095"/>
              <wp:effectExtent l="0" t="0" r="0" b="14605"/>
              <wp:wrapNone/>
              <wp:docPr id="2" name="Text Box 2"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462373" w14:textId="4E5F4D31" w:rsidR="00004229" w:rsidRPr="009A201F" w:rsidRDefault="00004229" w:rsidP="00004229">
                          <w:pPr>
                            <w:jc w:val="center"/>
                            <w:rPr>
                              <w:rFonts w:ascii="Arial" w:hAnsi="Arial" w:cs="Arial"/>
                              <w:color w:val="000000"/>
                              <w:sz w:val="21"/>
                              <w:szCs w:val="21"/>
                            </w:rPr>
                          </w:pPr>
                          <w:r w:rsidRPr="009A201F">
                            <w:rPr>
                              <w:rFonts w:ascii="Arial" w:hAnsi="Arial" w:cs="Arial"/>
                              <w:color w:val="000000"/>
                              <w:sz w:val="21"/>
                              <w:szCs w:val="21"/>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52EE8007" id="Text Box 2" o:spid="_x0000_s1027" type="#_x0000_t202" alt="{&quot;HashCode&quot;:352122633,&quot;Height&quot;:841.0,&quot;Width&quot;:595.0,&quot;Placement&quot;:&quot;Header&quot;,&quot;Index&quot;:&quot;Primary&quot;,&quot;Section&quot;:1,&quot;Top&quot;:0.0,&quot;Left&quot;:0.0}" style="position:absolute;margin-left:0;margin-top:1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D462373" w14:textId="4E5F4D31" w:rsidR="00004229" w:rsidRPr="009A201F" w:rsidRDefault="00004229" w:rsidP="00004229">
                    <w:pPr>
                      <w:jc w:val="center"/>
                      <w:rPr>
                        <w:rFonts w:ascii="Arial" w:hAnsi="Arial" w:cs="Arial"/>
                        <w:color w:val="000000"/>
                        <w:sz w:val="21"/>
                        <w:szCs w:val="21"/>
                      </w:rPr>
                    </w:pPr>
                    <w:r w:rsidRPr="009A201F">
                      <w:rPr>
                        <w:rFonts w:ascii="Arial" w:hAnsi="Arial" w:cs="Arial"/>
                        <w:color w:val="000000"/>
                        <w:sz w:val="21"/>
                        <w:szCs w:val="21"/>
                      </w:rPr>
                      <w:t>OFFICIAL</w:t>
                    </w:r>
                  </w:p>
                </w:txbxContent>
              </v:textbox>
              <w10:wrap anchorx="page" anchory="page"/>
            </v:shape>
          </w:pict>
        </mc:Fallback>
      </mc:AlternateContent>
    </w:r>
    <w:r w:rsidR="002F29BB" w:rsidRPr="002F29BB">
      <w:rPr>
        <w:rFonts w:ascii="Calibri" w:eastAsia="Calibri" w:hAnsi="Calibri" w:cs="Times New Roman"/>
        <w:noProof/>
        <w:sz w:val="22"/>
        <w:szCs w:val="22"/>
        <w:lang w:val="en-US"/>
      </w:rPr>
      <w:drawing>
        <wp:inline distT="0" distB="0" distL="0" distR="0" wp14:anchorId="50AA9010" wp14:editId="3BC879BB">
          <wp:extent cx="1476375" cy="533689"/>
          <wp:effectExtent l="0" t="0" r="0" b="0"/>
          <wp:docPr id="1920075382" name="Picture 192007538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7965" cy="552338"/>
                  </a:xfrm>
                  <a:prstGeom prst="rect">
                    <a:avLst/>
                  </a:prstGeom>
                  <a:noFill/>
                  <a:ln>
                    <a:noFill/>
                  </a:ln>
                </pic:spPr>
              </pic:pic>
            </a:graphicData>
          </a:graphic>
        </wp:inline>
      </w:drawing>
    </w:r>
  </w:p>
  <w:p w14:paraId="42CE939B" w14:textId="3C1C5788" w:rsidR="002F29BB" w:rsidRPr="002F29BB" w:rsidRDefault="002F29BB" w:rsidP="002F2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E53"/>
    <w:multiLevelType w:val="multilevel"/>
    <w:tmpl w:val="5DA606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D1F2C"/>
    <w:multiLevelType w:val="hybridMultilevel"/>
    <w:tmpl w:val="2868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92635"/>
    <w:multiLevelType w:val="hybridMultilevel"/>
    <w:tmpl w:val="0AFCA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073D57"/>
    <w:multiLevelType w:val="multilevel"/>
    <w:tmpl w:val="D234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B76221"/>
    <w:multiLevelType w:val="multilevel"/>
    <w:tmpl w:val="9DE4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0440C8"/>
    <w:multiLevelType w:val="multilevel"/>
    <w:tmpl w:val="1AF4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F47073"/>
    <w:multiLevelType w:val="hybridMultilevel"/>
    <w:tmpl w:val="8D2EA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841B54"/>
    <w:multiLevelType w:val="hybridMultilevel"/>
    <w:tmpl w:val="B712C7FA"/>
    <w:lvl w:ilvl="0" w:tplc="142C397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672DC0"/>
    <w:multiLevelType w:val="hybridMultilevel"/>
    <w:tmpl w:val="2EC24442"/>
    <w:lvl w:ilvl="0" w:tplc="D3DC6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6006555">
    <w:abstractNumId w:val="7"/>
  </w:num>
  <w:num w:numId="2" w16cid:durableId="1475947415">
    <w:abstractNumId w:val="2"/>
  </w:num>
  <w:num w:numId="3" w16cid:durableId="2023243592">
    <w:abstractNumId w:val="8"/>
  </w:num>
  <w:num w:numId="4" w16cid:durableId="269708764">
    <w:abstractNumId w:val="1"/>
  </w:num>
  <w:num w:numId="5" w16cid:durableId="1611821230">
    <w:abstractNumId w:val="6"/>
  </w:num>
  <w:num w:numId="6" w16cid:durableId="653799489">
    <w:abstractNumId w:val="5"/>
  </w:num>
  <w:num w:numId="7" w16cid:durableId="489948632">
    <w:abstractNumId w:val="3"/>
  </w:num>
  <w:num w:numId="8" w16cid:durableId="1603873504">
    <w:abstractNumId w:val="4"/>
  </w:num>
  <w:num w:numId="9" w16cid:durableId="1616524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9BA"/>
    <w:rsid w:val="00000295"/>
    <w:rsid w:val="000019F2"/>
    <w:rsid w:val="00002376"/>
    <w:rsid w:val="00004229"/>
    <w:rsid w:val="00036B73"/>
    <w:rsid w:val="00063E20"/>
    <w:rsid w:val="00091511"/>
    <w:rsid w:val="000A4CF1"/>
    <w:rsid w:val="000D2294"/>
    <w:rsid w:val="000E11C0"/>
    <w:rsid w:val="00110B89"/>
    <w:rsid w:val="00114327"/>
    <w:rsid w:val="00121D11"/>
    <w:rsid w:val="0012367C"/>
    <w:rsid w:val="0013110A"/>
    <w:rsid w:val="00157877"/>
    <w:rsid w:val="00176A95"/>
    <w:rsid w:val="00180DF3"/>
    <w:rsid w:val="001817E0"/>
    <w:rsid w:val="00182DEC"/>
    <w:rsid w:val="001856EE"/>
    <w:rsid w:val="00185B59"/>
    <w:rsid w:val="001A3F70"/>
    <w:rsid w:val="001B5267"/>
    <w:rsid w:val="001C1135"/>
    <w:rsid w:val="001C2979"/>
    <w:rsid w:val="001E16F2"/>
    <w:rsid w:val="001E1DA1"/>
    <w:rsid w:val="001F2365"/>
    <w:rsid w:val="001F55C8"/>
    <w:rsid w:val="002072BD"/>
    <w:rsid w:val="0020791D"/>
    <w:rsid w:val="00215CAA"/>
    <w:rsid w:val="00220AA5"/>
    <w:rsid w:val="0023072A"/>
    <w:rsid w:val="00262E44"/>
    <w:rsid w:val="002643C4"/>
    <w:rsid w:val="0027054B"/>
    <w:rsid w:val="00283640"/>
    <w:rsid w:val="002862EC"/>
    <w:rsid w:val="002C2A4C"/>
    <w:rsid w:val="002E5537"/>
    <w:rsid w:val="002E68E0"/>
    <w:rsid w:val="002F29BB"/>
    <w:rsid w:val="002F7B4B"/>
    <w:rsid w:val="00307BED"/>
    <w:rsid w:val="00311538"/>
    <w:rsid w:val="0031488D"/>
    <w:rsid w:val="00322329"/>
    <w:rsid w:val="00346784"/>
    <w:rsid w:val="00361515"/>
    <w:rsid w:val="003677BD"/>
    <w:rsid w:val="00374187"/>
    <w:rsid w:val="003807A9"/>
    <w:rsid w:val="003B0DFC"/>
    <w:rsid w:val="003D039C"/>
    <w:rsid w:val="00410160"/>
    <w:rsid w:val="00461A92"/>
    <w:rsid w:val="0046433A"/>
    <w:rsid w:val="00465A75"/>
    <w:rsid w:val="004769E4"/>
    <w:rsid w:val="0048541F"/>
    <w:rsid w:val="004867D9"/>
    <w:rsid w:val="004A4989"/>
    <w:rsid w:val="004B1D47"/>
    <w:rsid w:val="004B1E54"/>
    <w:rsid w:val="004B74E8"/>
    <w:rsid w:val="004B782B"/>
    <w:rsid w:val="004C0F86"/>
    <w:rsid w:val="004D3983"/>
    <w:rsid w:val="004F6B5E"/>
    <w:rsid w:val="00510D7A"/>
    <w:rsid w:val="00536BEA"/>
    <w:rsid w:val="00544642"/>
    <w:rsid w:val="005529B1"/>
    <w:rsid w:val="005642EE"/>
    <w:rsid w:val="005711BD"/>
    <w:rsid w:val="005923FB"/>
    <w:rsid w:val="00593AC8"/>
    <w:rsid w:val="005A2329"/>
    <w:rsid w:val="005A3C50"/>
    <w:rsid w:val="005C5621"/>
    <w:rsid w:val="005C692B"/>
    <w:rsid w:val="005C7312"/>
    <w:rsid w:val="005E08CB"/>
    <w:rsid w:val="005E1C97"/>
    <w:rsid w:val="005E3942"/>
    <w:rsid w:val="005E4ED5"/>
    <w:rsid w:val="005E664A"/>
    <w:rsid w:val="0061323A"/>
    <w:rsid w:val="006135FE"/>
    <w:rsid w:val="0061616B"/>
    <w:rsid w:val="00621C33"/>
    <w:rsid w:val="006347CF"/>
    <w:rsid w:val="00651484"/>
    <w:rsid w:val="0065362A"/>
    <w:rsid w:val="00654D51"/>
    <w:rsid w:val="00666052"/>
    <w:rsid w:val="00681404"/>
    <w:rsid w:val="00690F57"/>
    <w:rsid w:val="006A0113"/>
    <w:rsid w:val="006A7CDA"/>
    <w:rsid w:val="006C1EE3"/>
    <w:rsid w:val="006C3588"/>
    <w:rsid w:val="006C40E8"/>
    <w:rsid w:val="006D2771"/>
    <w:rsid w:val="007050C3"/>
    <w:rsid w:val="00717212"/>
    <w:rsid w:val="007249BA"/>
    <w:rsid w:val="00725101"/>
    <w:rsid w:val="007257D4"/>
    <w:rsid w:val="00731EDC"/>
    <w:rsid w:val="00733ADB"/>
    <w:rsid w:val="007470CE"/>
    <w:rsid w:val="00750BC0"/>
    <w:rsid w:val="00757A28"/>
    <w:rsid w:val="00757C43"/>
    <w:rsid w:val="00765C80"/>
    <w:rsid w:val="00772E5E"/>
    <w:rsid w:val="00782BB9"/>
    <w:rsid w:val="007876E2"/>
    <w:rsid w:val="007A752A"/>
    <w:rsid w:val="007B3890"/>
    <w:rsid w:val="007B7600"/>
    <w:rsid w:val="007B7E16"/>
    <w:rsid w:val="007D0E5B"/>
    <w:rsid w:val="007D2D95"/>
    <w:rsid w:val="007E177A"/>
    <w:rsid w:val="007F09EC"/>
    <w:rsid w:val="007F39BD"/>
    <w:rsid w:val="00801CC4"/>
    <w:rsid w:val="008576D7"/>
    <w:rsid w:val="00874D18"/>
    <w:rsid w:val="00894DB9"/>
    <w:rsid w:val="008D3CF9"/>
    <w:rsid w:val="008F6422"/>
    <w:rsid w:val="009174B3"/>
    <w:rsid w:val="00925118"/>
    <w:rsid w:val="00930CA5"/>
    <w:rsid w:val="0099114E"/>
    <w:rsid w:val="009A201F"/>
    <w:rsid w:val="009A70B8"/>
    <w:rsid w:val="009B62B4"/>
    <w:rsid w:val="009C1DFD"/>
    <w:rsid w:val="009D18BD"/>
    <w:rsid w:val="009D3267"/>
    <w:rsid w:val="009D4FC6"/>
    <w:rsid w:val="009F1BE4"/>
    <w:rsid w:val="009F527D"/>
    <w:rsid w:val="00A05E28"/>
    <w:rsid w:val="00A15877"/>
    <w:rsid w:val="00A32E22"/>
    <w:rsid w:val="00A47D08"/>
    <w:rsid w:val="00A6524A"/>
    <w:rsid w:val="00A67A2F"/>
    <w:rsid w:val="00A74904"/>
    <w:rsid w:val="00A77890"/>
    <w:rsid w:val="00AA4C5A"/>
    <w:rsid w:val="00AA5B18"/>
    <w:rsid w:val="00AA67B0"/>
    <w:rsid w:val="00AB22AF"/>
    <w:rsid w:val="00AC19A9"/>
    <w:rsid w:val="00AD154D"/>
    <w:rsid w:val="00AD7672"/>
    <w:rsid w:val="00B04E96"/>
    <w:rsid w:val="00B10D09"/>
    <w:rsid w:val="00B2765E"/>
    <w:rsid w:val="00B3637B"/>
    <w:rsid w:val="00B434A6"/>
    <w:rsid w:val="00B4445D"/>
    <w:rsid w:val="00B52432"/>
    <w:rsid w:val="00B63C3B"/>
    <w:rsid w:val="00B76ED8"/>
    <w:rsid w:val="00B94B3E"/>
    <w:rsid w:val="00B970A8"/>
    <w:rsid w:val="00BA1E2B"/>
    <w:rsid w:val="00BA3BDF"/>
    <w:rsid w:val="00BB2C39"/>
    <w:rsid w:val="00BD212B"/>
    <w:rsid w:val="00BF1D26"/>
    <w:rsid w:val="00C05CC0"/>
    <w:rsid w:val="00C50608"/>
    <w:rsid w:val="00C57796"/>
    <w:rsid w:val="00C96676"/>
    <w:rsid w:val="00CB7E2E"/>
    <w:rsid w:val="00CC3765"/>
    <w:rsid w:val="00CC6741"/>
    <w:rsid w:val="00CD491F"/>
    <w:rsid w:val="00CD4BDA"/>
    <w:rsid w:val="00CD5500"/>
    <w:rsid w:val="00CD67A7"/>
    <w:rsid w:val="00CE4AEA"/>
    <w:rsid w:val="00CF58AD"/>
    <w:rsid w:val="00CF7318"/>
    <w:rsid w:val="00D1339D"/>
    <w:rsid w:val="00D2466B"/>
    <w:rsid w:val="00D3540E"/>
    <w:rsid w:val="00D47ACC"/>
    <w:rsid w:val="00D53D59"/>
    <w:rsid w:val="00D82B88"/>
    <w:rsid w:val="00D90926"/>
    <w:rsid w:val="00D9438F"/>
    <w:rsid w:val="00DA11BD"/>
    <w:rsid w:val="00DA1A43"/>
    <w:rsid w:val="00DC44E3"/>
    <w:rsid w:val="00DE6E54"/>
    <w:rsid w:val="00E07B20"/>
    <w:rsid w:val="00E23339"/>
    <w:rsid w:val="00E24EC2"/>
    <w:rsid w:val="00E302C4"/>
    <w:rsid w:val="00E33EA9"/>
    <w:rsid w:val="00E36B2D"/>
    <w:rsid w:val="00E54AEC"/>
    <w:rsid w:val="00E6114F"/>
    <w:rsid w:val="00E6243E"/>
    <w:rsid w:val="00E80A34"/>
    <w:rsid w:val="00E95625"/>
    <w:rsid w:val="00EA0C02"/>
    <w:rsid w:val="00EA7A4A"/>
    <w:rsid w:val="00EC0FE4"/>
    <w:rsid w:val="00EC14F7"/>
    <w:rsid w:val="00EC2519"/>
    <w:rsid w:val="00F149D8"/>
    <w:rsid w:val="00F243E7"/>
    <w:rsid w:val="00F52594"/>
    <w:rsid w:val="00F64ED1"/>
    <w:rsid w:val="00F81175"/>
    <w:rsid w:val="00F81E0D"/>
    <w:rsid w:val="00F85DF0"/>
    <w:rsid w:val="00FB2609"/>
    <w:rsid w:val="00FB3C5B"/>
    <w:rsid w:val="00FB5824"/>
    <w:rsid w:val="00FD194C"/>
    <w:rsid w:val="00FD3D7B"/>
    <w:rsid w:val="00FE11C0"/>
    <w:rsid w:val="00FE7808"/>
    <w:rsid w:val="00FF1012"/>
    <w:rsid w:val="01D0DD60"/>
    <w:rsid w:val="0F12E32E"/>
    <w:rsid w:val="3676BDD8"/>
    <w:rsid w:val="3762B9A6"/>
    <w:rsid w:val="3DF789A6"/>
    <w:rsid w:val="4558761E"/>
    <w:rsid w:val="51E5086E"/>
    <w:rsid w:val="54A5A37F"/>
    <w:rsid w:val="621A3E74"/>
    <w:rsid w:val="63EE990B"/>
    <w:rsid w:val="647471D1"/>
    <w:rsid w:val="661D9BDA"/>
    <w:rsid w:val="6CBE9D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81F24"/>
  <w15:chartTrackingRefBased/>
  <w15:docId w15:val="{E2C7C101-CF52-440F-9DAA-08C6DEE5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D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4A6"/>
    <w:rPr>
      <w:rFonts w:ascii="Arial" w:hAnsi="Arial"/>
      <w:color w:val="0081C6"/>
      <w:u w:val="single"/>
    </w:rPr>
  </w:style>
  <w:style w:type="character" w:styleId="UnresolvedMention">
    <w:name w:val="Unresolved Mention"/>
    <w:basedOn w:val="DefaultParagraphFont"/>
    <w:uiPriority w:val="99"/>
    <w:semiHidden/>
    <w:unhideWhenUsed/>
    <w:rsid w:val="0013110A"/>
    <w:rPr>
      <w:color w:val="605E5C"/>
      <w:shd w:val="clear" w:color="auto" w:fill="E1DFDD"/>
    </w:rPr>
  </w:style>
  <w:style w:type="character" w:styleId="CommentReference">
    <w:name w:val="annotation reference"/>
    <w:basedOn w:val="DefaultParagraphFont"/>
    <w:uiPriority w:val="99"/>
    <w:semiHidden/>
    <w:unhideWhenUsed/>
    <w:rsid w:val="002F7B4B"/>
    <w:rPr>
      <w:sz w:val="16"/>
      <w:szCs w:val="16"/>
    </w:rPr>
  </w:style>
  <w:style w:type="paragraph" w:styleId="CommentText">
    <w:name w:val="annotation text"/>
    <w:basedOn w:val="Normal"/>
    <w:link w:val="CommentTextChar"/>
    <w:uiPriority w:val="99"/>
    <w:semiHidden/>
    <w:unhideWhenUsed/>
    <w:rsid w:val="002F7B4B"/>
    <w:pPr>
      <w:spacing w:after="160"/>
    </w:pPr>
    <w:rPr>
      <w:rFonts w:asciiTheme="minorHAnsi" w:eastAsiaTheme="minorHAnsi" w:hAnsiTheme="minorHAnsi" w:cstheme="minorHAnsi"/>
      <w:sz w:val="20"/>
      <w:szCs w:val="20"/>
    </w:rPr>
  </w:style>
  <w:style w:type="character" w:customStyle="1" w:styleId="CommentTextChar">
    <w:name w:val="Comment Text Char"/>
    <w:basedOn w:val="DefaultParagraphFont"/>
    <w:link w:val="CommentText"/>
    <w:uiPriority w:val="99"/>
    <w:semiHidden/>
    <w:rsid w:val="002F7B4B"/>
  </w:style>
  <w:style w:type="paragraph" w:styleId="CommentSubject">
    <w:name w:val="annotation subject"/>
    <w:basedOn w:val="CommentText"/>
    <w:next w:val="CommentText"/>
    <w:link w:val="CommentSubjectChar"/>
    <w:uiPriority w:val="99"/>
    <w:semiHidden/>
    <w:unhideWhenUsed/>
    <w:rsid w:val="002F7B4B"/>
    <w:rPr>
      <w:b/>
      <w:bCs/>
    </w:rPr>
  </w:style>
  <w:style w:type="character" w:customStyle="1" w:styleId="CommentSubjectChar">
    <w:name w:val="Comment Subject Char"/>
    <w:basedOn w:val="CommentTextChar"/>
    <w:link w:val="CommentSubject"/>
    <w:uiPriority w:val="99"/>
    <w:semiHidden/>
    <w:rsid w:val="002F7B4B"/>
    <w:rPr>
      <w:b/>
      <w:bCs/>
    </w:rPr>
  </w:style>
  <w:style w:type="paragraph" w:styleId="BalloonText">
    <w:name w:val="Balloon Text"/>
    <w:basedOn w:val="Normal"/>
    <w:link w:val="BalloonTextChar"/>
    <w:uiPriority w:val="99"/>
    <w:semiHidden/>
    <w:unhideWhenUsed/>
    <w:rsid w:val="002F7B4B"/>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F7B4B"/>
    <w:rPr>
      <w:rFonts w:ascii="Segoe UI" w:hAnsi="Segoe UI" w:cs="Segoe UI"/>
      <w:sz w:val="18"/>
      <w:szCs w:val="18"/>
    </w:rPr>
  </w:style>
  <w:style w:type="paragraph" w:styleId="ListParagraph">
    <w:name w:val="List Paragraph"/>
    <w:basedOn w:val="Normal"/>
    <w:uiPriority w:val="34"/>
    <w:qFormat/>
    <w:rsid w:val="00750BC0"/>
    <w:pPr>
      <w:spacing w:after="160" w:line="259" w:lineRule="auto"/>
      <w:ind w:left="720"/>
      <w:contextualSpacing/>
    </w:pPr>
    <w:rPr>
      <w:rFonts w:asciiTheme="minorHAnsi" w:eastAsiaTheme="minorHAnsi" w:hAnsiTheme="minorHAnsi" w:cstheme="minorHAnsi"/>
      <w:sz w:val="20"/>
      <w:szCs w:val="20"/>
    </w:rPr>
  </w:style>
  <w:style w:type="paragraph" w:styleId="Header">
    <w:name w:val="header"/>
    <w:basedOn w:val="Normal"/>
    <w:link w:val="HeaderChar"/>
    <w:uiPriority w:val="99"/>
    <w:unhideWhenUsed/>
    <w:rsid w:val="002F29BB"/>
    <w:pPr>
      <w:tabs>
        <w:tab w:val="center" w:pos="4513"/>
        <w:tab w:val="right" w:pos="9026"/>
      </w:tabs>
    </w:pPr>
    <w:rPr>
      <w:rFonts w:asciiTheme="minorHAnsi" w:eastAsiaTheme="minorHAnsi" w:hAnsiTheme="minorHAnsi" w:cstheme="minorHAnsi"/>
      <w:sz w:val="20"/>
      <w:szCs w:val="20"/>
    </w:rPr>
  </w:style>
  <w:style w:type="character" w:customStyle="1" w:styleId="HeaderChar">
    <w:name w:val="Header Char"/>
    <w:basedOn w:val="DefaultParagraphFont"/>
    <w:link w:val="Header"/>
    <w:uiPriority w:val="99"/>
    <w:rsid w:val="002F29BB"/>
  </w:style>
  <w:style w:type="paragraph" w:styleId="Footer">
    <w:name w:val="footer"/>
    <w:basedOn w:val="Normal"/>
    <w:link w:val="FooterChar"/>
    <w:uiPriority w:val="99"/>
    <w:unhideWhenUsed/>
    <w:rsid w:val="002F29BB"/>
    <w:pPr>
      <w:tabs>
        <w:tab w:val="center" w:pos="4513"/>
        <w:tab w:val="right" w:pos="9026"/>
      </w:tabs>
    </w:pPr>
    <w:rPr>
      <w:rFonts w:asciiTheme="minorHAnsi" w:eastAsiaTheme="minorHAnsi" w:hAnsiTheme="minorHAnsi" w:cstheme="minorHAnsi"/>
      <w:sz w:val="20"/>
      <w:szCs w:val="20"/>
    </w:rPr>
  </w:style>
  <w:style w:type="character" w:customStyle="1" w:styleId="FooterChar">
    <w:name w:val="Footer Char"/>
    <w:basedOn w:val="DefaultParagraphFont"/>
    <w:link w:val="Footer"/>
    <w:uiPriority w:val="99"/>
    <w:rsid w:val="002F29BB"/>
  </w:style>
  <w:style w:type="paragraph" w:styleId="Revision">
    <w:name w:val="Revision"/>
    <w:hidden/>
    <w:uiPriority w:val="99"/>
    <w:semiHidden/>
    <w:rsid w:val="00757A28"/>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6114F"/>
  </w:style>
  <w:style w:type="character" w:customStyle="1" w:styleId="eop">
    <w:name w:val="eop"/>
    <w:basedOn w:val="DefaultParagraphFont"/>
    <w:rsid w:val="00E6114F"/>
  </w:style>
  <w:style w:type="character" w:styleId="FollowedHyperlink">
    <w:name w:val="FollowedHyperlink"/>
    <w:basedOn w:val="DefaultParagraphFont"/>
    <w:uiPriority w:val="99"/>
    <w:unhideWhenUsed/>
    <w:rsid w:val="00B434A6"/>
    <w:rPr>
      <w:rFonts w:ascii="Arial" w:hAnsi="Arial"/>
      <w:color w:val="000000" w:themeColor="text1"/>
      <w:u w:val="single"/>
    </w:rPr>
  </w:style>
  <w:style w:type="paragraph" w:styleId="NormalWeb">
    <w:name w:val="Normal (Web)"/>
    <w:basedOn w:val="Normal"/>
    <w:uiPriority w:val="99"/>
    <w:semiHidden/>
    <w:unhideWhenUsed/>
    <w:rsid w:val="007D0E5B"/>
  </w:style>
  <w:style w:type="paragraph" w:styleId="FootnoteText">
    <w:name w:val="footnote text"/>
    <w:basedOn w:val="Normal"/>
    <w:link w:val="FootnoteTextChar"/>
    <w:uiPriority w:val="99"/>
    <w:semiHidden/>
    <w:unhideWhenUsed/>
    <w:rsid w:val="00F149D8"/>
    <w:rPr>
      <w:sz w:val="20"/>
      <w:szCs w:val="20"/>
    </w:rPr>
  </w:style>
  <w:style w:type="character" w:customStyle="1" w:styleId="FootnoteTextChar">
    <w:name w:val="Footnote Text Char"/>
    <w:basedOn w:val="DefaultParagraphFont"/>
    <w:link w:val="FootnoteText"/>
    <w:uiPriority w:val="99"/>
    <w:semiHidden/>
    <w:rsid w:val="00F149D8"/>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F149D8"/>
    <w:rPr>
      <w:vertAlign w:val="superscript"/>
    </w:rPr>
  </w:style>
  <w:style w:type="character" w:styleId="PageNumber">
    <w:name w:val="page number"/>
    <w:basedOn w:val="DefaultParagraphFont"/>
    <w:uiPriority w:val="99"/>
    <w:semiHidden/>
    <w:unhideWhenUsed/>
    <w:rsid w:val="004C0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7095">
      <w:bodyDiv w:val="1"/>
      <w:marLeft w:val="0"/>
      <w:marRight w:val="0"/>
      <w:marTop w:val="0"/>
      <w:marBottom w:val="0"/>
      <w:divBdr>
        <w:top w:val="none" w:sz="0" w:space="0" w:color="auto"/>
        <w:left w:val="none" w:sz="0" w:space="0" w:color="auto"/>
        <w:bottom w:val="none" w:sz="0" w:space="0" w:color="auto"/>
        <w:right w:val="none" w:sz="0" w:space="0" w:color="auto"/>
      </w:divBdr>
    </w:div>
    <w:div w:id="255410715">
      <w:bodyDiv w:val="1"/>
      <w:marLeft w:val="0"/>
      <w:marRight w:val="0"/>
      <w:marTop w:val="0"/>
      <w:marBottom w:val="0"/>
      <w:divBdr>
        <w:top w:val="none" w:sz="0" w:space="0" w:color="auto"/>
        <w:left w:val="none" w:sz="0" w:space="0" w:color="auto"/>
        <w:bottom w:val="none" w:sz="0" w:space="0" w:color="auto"/>
        <w:right w:val="none" w:sz="0" w:space="0" w:color="auto"/>
      </w:divBdr>
      <w:divsChild>
        <w:div w:id="1067729615">
          <w:marLeft w:val="0"/>
          <w:marRight w:val="0"/>
          <w:marTop w:val="0"/>
          <w:marBottom w:val="0"/>
          <w:divBdr>
            <w:top w:val="none" w:sz="0" w:space="0" w:color="auto"/>
            <w:left w:val="none" w:sz="0" w:space="0" w:color="auto"/>
            <w:bottom w:val="none" w:sz="0" w:space="0" w:color="auto"/>
            <w:right w:val="none" w:sz="0" w:space="0" w:color="auto"/>
          </w:divBdr>
          <w:divsChild>
            <w:div w:id="2001695517">
              <w:marLeft w:val="0"/>
              <w:marRight w:val="0"/>
              <w:marTop w:val="0"/>
              <w:marBottom w:val="0"/>
              <w:divBdr>
                <w:top w:val="none" w:sz="0" w:space="0" w:color="auto"/>
                <w:left w:val="none" w:sz="0" w:space="0" w:color="auto"/>
                <w:bottom w:val="none" w:sz="0" w:space="0" w:color="auto"/>
                <w:right w:val="none" w:sz="0" w:space="0" w:color="auto"/>
              </w:divBdr>
              <w:divsChild>
                <w:div w:id="17622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372976">
      <w:bodyDiv w:val="1"/>
      <w:marLeft w:val="0"/>
      <w:marRight w:val="0"/>
      <w:marTop w:val="0"/>
      <w:marBottom w:val="0"/>
      <w:divBdr>
        <w:top w:val="none" w:sz="0" w:space="0" w:color="auto"/>
        <w:left w:val="none" w:sz="0" w:space="0" w:color="auto"/>
        <w:bottom w:val="none" w:sz="0" w:space="0" w:color="auto"/>
        <w:right w:val="none" w:sz="0" w:space="0" w:color="auto"/>
      </w:divBdr>
      <w:divsChild>
        <w:div w:id="194659226">
          <w:marLeft w:val="0"/>
          <w:marRight w:val="0"/>
          <w:marTop w:val="0"/>
          <w:marBottom w:val="0"/>
          <w:divBdr>
            <w:top w:val="none" w:sz="0" w:space="0" w:color="auto"/>
            <w:left w:val="none" w:sz="0" w:space="0" w:color="auto"/>
            <w:bottom w:val="none" w:sz="0" w:space="0" w:color="auto"/>
            <w:right w:val="none" w:sz="0" w:space="0" w:color="auto"/>
          </w:divBdr>
          <w:divsChild>
            <w:div w:id="64112945">
              <w:marLeft w:val="0"/>
              <w:marRight w:val="0"/>
              <w:marTop w:val="0"/>
              <w:marBottom w:val="0"/>
              <w:divBdr>
                <w:top w:val="none" w:sz="0" w:space="0" w:color="auto"/>
                <w:left w:val="none" w:sz="0" w:space="0" w:color="auto"/>
                <w:bottom w:val="none" w:sz="0" w:space="0" w:color="auto"/>
                <w:right w:val="none" w:sz="0" w:space="0" w:color="auto"/>
              </w:divBdr>
              <w:divsChild>
                <w:div w:id="13973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17564">
      <w:bodyDiv w:val="1"/>
      <w:marLeft w:val="0"/>
      <w:marRight w:val="0"/>
      <w:marTop w:val="0"/>
      <w:marBottom w:val="0"/>
      <w:divBdr>
        <w:top w:val="none" w:sz="0" w:space="0" w:color="auto"/>
        <w:left w:val="none" w:sz="0" w:space="0" w:color="auto"/>
        <w:bottom w:val="none" w:sz="0" w:space="0" w:color="auto"/>
        <w:right w:val="none" w:sz="0" w:space="0" w:color="auto"/>
      </w:divBdr>
    </w:div>
    <w:div w:id="678315873">
      <w:bodyDiv w:val="1"/>
      <w:marLeft w:val="0"/>
      <w:marRight w:val="0"/>
      <w:marTop w:val="0"/>
      <w:marBottom w:val="0"/>
      <w:divBdr>
        <w:top w:val="none" w:sz="0" w:space="0" w:color="auto"/>
        <w:left w:val="none" w:sz="0" w:space="0" w:color="auto"/>
        <w:bottom w:val="none" w:sz="0" w:space="0" w:color="auto"/>
        <w:right w:val="none" w:sz="0" w:space="0" w:color="auto"/>
      </w:divBdr>
      <w:divsChild>
        <w:div w:id="226840912">
          <w:marLeft w:val="0"/>
          <w:marRight w:val="0"/>
          <w:marTop w:val="0"/>
          <w:marBottom w:val="0"/>
          <w:divBdr>
            <w:top w:val="none" w:sz="0" w:space="0" w:color="auto"/>
            <w:left w:val="none" w:sz="0" w:space="0" w:color="auto"/>
            <w:bottom w:val="none" w:sz="0" w:space="0" w:color="auto"/>
            <w:right w:val="none" w:sz="0" w:space="0" w:color="auto"/>
          </w:divBdr>
          <w:divsChild>
            <w:div w:id="573664967">
              <w:marLeft w:val="0"/>
              <w:marRight w:val="0"/>
              <w:marTop w:val="0"/>
              <w:marBottom w:val="0"/>
              <w:divBdr>
                <w:top w:val="none" w:sz="0" w:space="0" w:color="auto"/>
                <w:left w:val="none" w:sz="0" w:space="0" w:color="auto"/>
                <w:bottom w:val="none" w:sz="0" w:space="0" w:color="auto"/>
                <w:right w:val="none" w:sz="0" w:space="0" w:color="auto"/>
              </w:divBdr>
              <w:divsChild>
                <w:div w:id="1115751111">
                  <w:marLeft w:val="0"/>
                  <w:marRight w:val="0"/>
                  <w:marTop w:val="0"/>
                  <w:marBottom w:val="0"/>
                  <w:divBdr>
                    <w:top w:val="none" w:sz="0" w:space="0" w:color="auto"/>
                    <w:left w:val="none" w:sz="0" w:space="0" w:color="auto"/>
                    <w:bottom w:val="none" w:sz="0" w:space="0" w:color="auto"/>
                    <w:right w:val="none" w:sz="0" w:space="0" w:color="auto"/>
                  </w:divBdr>
                </w:div>
              </w:divsChild>
            </w:div>
            <w:div w:id="124785756">
              <w:marLeft w:val="0"/>
              <w:marRight w:val="0"/>
              <w:marTop w:val="0"/>
              <w:marBottom w:val="0"/>
              <w:divBdr>
                <w:top w:val="none" w:sz="0" w:space="0" w:color="auto"/>
                <w:left w:val="none" w:sz="0" w:space="0" w:color="auto"/>
                <w:bottom w:val="none" w:sz="0" w:space="0" w:color="auto"/>
                <w:right w:val="none" w:sz="0" w:space="0" w:color="auto"/>
              </w:divBdr>
              <w:divsChild>
                <w:div w:id="185927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22317">
          <w:marLeft w:val="0"/>
          <w:marRight w:val="0"/>
          <w:marTop w:val="0"/>
          <w:marBottom w:val="0"/>
          <w:divBdr>
            <w:top w:val="none" w:sz="0" w:space="0" w:color="auto"/>
            <w:left w:val="none" w:sz="0" w:space="0" w:color="auto"/>
            <w:bottom w:val="none" w:sz="0" w:space="0" w:color="auto"/>
            <w:right w:val="none" w:sz="0" w:space="0" w:color="auto"/>
          </w:divBdr>
          <w:divsChild>
            <w:div w:id="414789202">
              <w:marLeft w:val="0"/>
              <w:marRight w:val="0"/>
              <w:marTop w:val="0"/>
              <w:marBottom w:val="0"/>
              <w:divBdr>
                <w:top w:val="none" w:sz="0" w:space="0" w:color="auto"/>
                <w:left w:val="none" w:sz="0" w:space="0" w:color="auto"/>
                <w:bottom w:val="none" w:sz="0" w:space="0" w:color="auto"/>
                <w:right w:val="none" w:sz="0" w:space="0" w:color="auto"/>
              </w:divBdr>
              <w:divsChild>
                <w:div w:id="1587567386">
                  <w:marLeft w:val="0"/>
                  <w:marRight w:val="0"/>
                  <w:marTop w:val="0"/>
                  <w:marBottom w:val="0"/>
                  <w:divBdr>
                    <w:top w:val="none" w:sz="0" w:space="0" w:color="auto"/>
                    <w:left w:val="none" w:sz="0" w:space="0" w:color="auto"/>
                    <w:bottom w:val="none" w:sz="0" w:space="0" w:color="auto"/>
                    <w:right w:val="none" w:sz="0" w:space="0" w:color="auto"/>
                  </w:divBdr>
                </w:div>
              </w:divsChild>
            </w:div>
            <w:div w:id="2070422927">
              <w:marLeft w:val="0"/>
              <w:marRight w:val="0"/>
              <w:marTop w:val="0"/>
              <w:marBottom w:val="0"/>
              <w:divBdr>
                <w:top w:val="none" w:sz="0" w:space="0" w:color="auto"/>
                <w:left w:val="none" w:sz="0" w:space="0" w:color="auto"/>
                <w:bottom w:val="none" w:sz="0" w:space="0" w:color="auto"/>
                <w:right w:val="none" w:sz="0" w:space="0" w:color="auto"/>
              </w:divBdr>
              <w:divsChild>
                <w:div w:id="54965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7739">
          <w:marLeft w:val="0"/>
          <w:marRight w:val="0"/>
          <w:marTop w:val="0"/>
          <w:marBottom w:val="0"/>
          <w:divBdr>
            <w:top w:val="none" w:sz="0" w:space="0" w:color="auto"/>
            <w:left w:val="none" w:sz="0" w:space="0" w:color="auto"/>
            <w:bottom w:val="none" w:sz="0" w:space="0" w:color="auto"/>
            <w:right w:val="none" w:sz="0" w:space="0" w:color="auto"/>
          </w:divBdr>
          <w:divsChild>
            <w:div w:id="1625696430">
              <w:marLeft w:val="0"/>
              <w:marRight w:val="0"/>
              <w:marTop w:val="0"/>
              <w:marBottom w:val="0"/>
              <w:divBdr>
                <w:top w:val="none" w:sz="0" w:space="0" w:color="auto"/>
                <w:left w:val="none" w:sz="0" w:space="0" w:color="auto"/>
                <w:bottom w:val="none" w:sz="0" w:space="0" w:color="auto"/>
                <w:right w:val="none" w:sz="0" w:space="0" w:color="auto"/>
              </w:divBdr>
              <w:divsChild>
                <w:div w:id="1273855561">
                  <w:marLeft w:val="0"/>
                  <w:marRight w:val="0"/>
                  <w:marTop w:val="0"/>
                  <w:marBottom w:val="0"/>
                  <w:divBdr>
                    <w:top w:val="none" w:sz="0" w:space="0" w:color="auto"/>
                    <w:left w:val="none" w:sz="0" w:space="0" w:color="auto"/>
                    <w:bottom w:val="none" w:sz="0" w:space="0" w:color="auto"/>
                    <w:right w:val="none" w:sz="0" w:space="0" w:color="auto"/>
                  </w:divBdr>
                </w:div>
              </w:divsChild>
            </w:div>
            <w:div w:id="1941333675">
              <w:marLeft w:val="0"/>
              <w:marRight w:val="0"/>
              <w:marTop w:val="0"/>
              <w:marBottom w:val="0"/>
              <w:divBdr>
                <w:top w:val="none" w:sz="0" w:space="0" w:color="auto"/>
                <w:left w:val="none" w:sz="0" w:space="0" w:color="auto"/>
                <w:bottom w:val="none" w:sz="0" w:space="0" w:color="auto"/>
                <w:right w:val="none" w:sz="0" w:space="0" w:color="auto"/>
              </w:divBdr>
              <w:divsChild>
                <w:div w:id="10708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69179">
          <w:marLeft w:val="0"/>
          <w:marRight w:val="0"/>
          <w:marTop w:val="0"/>
          <w:marBottom w:val="0"/>
          <w:divBdr>
            <w:top w:val="none" w:sz="0" w:space="0" w:color="auto"/>
            <w:left w:val="none" w:sz="0" w:space="0" w:color="auto"/>
            <w:bottom w:val="none" w:sz="0" w:space="0" w:color="auto"/>
            <w:right w:val="none" w:sz="0" w:space="0" w:color="auto"/>
          </w:divBdr>
          <w:divsChild>
            <w:div w:id="2140995762">
              <w:marLeft w:val="0"/>
              <w:marRight w:val="0"/>
              <w:marTop w:val="0"/>
              <w:marBottom w:val="0"/>
              <w:divBdr>
                <w:top w:val="none" w:sz="0" w:space="0" w:color="auto"/>
                <w:left w:val="none" w:sz="0" w:space="0" w:color="auto"/>
                <w:bottom w:val="none" w:sz="0" w:space="0" w:color="auto"/>
                <w:right w:val="none" w:sz="0" w:space="0" w:color="auto"/>
              </w:divBdr>
              <w:divsChild>
                <w:div w:id="1124153144">
                  <w:marLeft w:val="0"/>
                  <w:marRight w:val="0"/>
                  <w:marTop w:val="0"/>
                  <w:marBottom w:val="0"/>
                  <w:divBdr>
                    <w:top w:val="none" w:sz="0" w:space="0" w:color="auto"/>
                    <w:left w:val="none" w:sz="0" w:space="0" w:color="auto"/>
                    <w:bottom w:val="none" w:sz="0" w:space="0" w:color="auto"/>
                    <w:right w:val="none" w:sz="0" w:space="0" w:color="auto"/>
                  </w:divBdr>
                </w:div>
              </w:divsChild>
            </w:div>
            <w:div w:id="1347051335">
              <w:marLeft w:val="0"/>
              <w:marRight w:val="0"/>
              <w:marTop w:val="0"/>
              <w:marBottom w:val="0"/>
              <w:divBdr>
                <w:top w:val="none" w:sz="0" w:space="0" w:color="auto"/>
                <w:left w:val="none" w:sz="0" w:space="0" w:color="auto"/>
                <w:bottom w:val="none" w:sz="0" w:space="0" w:color="auto"/>
                <w:right w:val="none" w:sz="0" w:space="0" w:color="auto"/>
              </w:divBdr>
              <w:divsChild>
                <w:div w:id="8822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7324">
      <w:bodyDiv w:val="1"/>
      <w:marLeft w:val="0"/>
      <w:marRight w:val="0"/>
      <w:marTop w:val="0"/>
      <w:marBottom w:val="0"/>
      <w:divBdr>
        <w:top w:val="none" w:sz="0" w:space="0" w:color="auto"/>
        <w:left w:val="none" w:sz="0" w:space="0" w:color="auto"/>
        <w:bottom w:val="none" w:sz="0" w:space="0" w:color="auto"/>
        <w:right w:val="none" w:sz="0" w:space="0" w:color="auto"/>
      </w:divBdr>
      <w:divsChild>
        <w:div w:id="1794712116">
          <w:marLeft w:val="0"/>
          <w:marRight w:val="0"/>
          <w:marTop w:val="0"/>
          <w:marBottom w:val="0"/>
          <w:divBdr>
            <w:top w:val="none" w:sz="0" w:space="0" w:color="auto"/>
            <w:left w:val="none" w:sz="0" w:space="0" w:color="auto"/>
            <w:bottom w:val="none" w:sz="0" w:space="0" w:color="auto"/>
            <w:right w:val="none" w:sz="0" w:space="0" w:color="auto"/>
          </w:divBdr>
          <w:divsChild>
            <w:div w:id="892691839">
              <w:marLeft w:val="0"/>
              <w:marRight w:val="0"/>
              <w:marTop w:val="0"/>
              <w:marBottom w:val="0"/>
              <w:divBdr>
                <w:top w:val="none" w:sz="0" w:space="0" w:color="auto"/>
                <w:left w:val="none" w:sz="0" w:space="0" w:color="auto"/>
                <w:bottom w:val="none" w:sz="0" w:space="0" w:color="auto"/>
                <w:right w:val="none" w:sz="0" w:space="0" w:color="auto"/>
              </w:divBdr>
              <w:divsChild>
                <w:div w:id="6785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960557">
      <w:bodyDiv w:val="1"/>
      <w:marLeft w:val="0"/>
      <w:marRight w:val="0"/>
      <w:marTop w:val="0"/>
      <w:marBottom w:val="0"/>
      <w:divBdr>
        <w:top w:val="none" w:sz="0" w:space="0" w:color="auto"/>
        <w:left w:val="none" w:sz="0" w:space="0" w:color="auto"/>
        <w:bottom w:val="none" w:sz="0" w:space="0" w:color="auto"/>
        <w:right w:val="none" w:sz="0" w:space="0" w:color="auto"/>
      </w:divBdr>
    </w:div>
    <w:div w:id="916325987">
      <w:bodyDiv w:val="1"/>
      <w:marLeft w:val="0"/>
      <w:marRight w:val="0"/>
      <w:marTop w:val="0"/>
      <w:marBottom w:val="0"/>
      <w:divBdr>
        <w:top w:val="none" w:sz="0" w:space="0" w:color="auto"/>
        <w:left w:val="none" w:sz="0" w:space="0" w:color="auto"/>
        <w:bottom w:val="none" w:sz="0" w:space="0" w:color="auto"/>
        <w:right w:val="none" w:sz="0" w:space="0" w:color="auto"/>
      </w:divBdr>
    </w:div>
    <w:div w:id="925765482">
      <w:bodyDiv w:val="1"/>
      <w:marLeft w:val="0"/>
      <w:marRight w:val="0"/>
      <w:marTop w:val="0"/>
      <w:marBottom w:val="0"/>
      <w:divBdr>
        <w:top w:val="none" w:sz="0" w:space="0" w:color="auto"/>
        <w:left w:val="none" w:sz="0" w:space="0" w:color="auto"/>
        <w:bottom w:val="none" w:sz="0" w:space="0" w:color="auto"/>
        <w:right w:val="none" w:sz="0" w:space="0" w:color="auto"/>
      </w:divBdr>
      <w:divsChild>
        <w:div w:id="350299143">
          <w:marLeft w:val="0"/>
          <w:marRight w:val="0"/>
          <w:marTop w:val="0"/>
          <w:marBottom w:val="0"/>
          <w:divBdr>
            <w:top w:val="none" w:sz="0" w:space="0" w:color="auto"/>
            <w:left w:val="none" w:sz="0" w:space="0" w:color="auto"/>
            <w:bottom w:val="none" w:sz="0" w:space="0" w:color="auto"/>
            <w:right w:val="none" w:sz="0" w:space="0" w:color="auto"/>
          </w:divBdr>
          <w:divsChild>
            <w:div w:id="23869805">
              <w:marLeft w:val="0"/>
              <w:marRight w:val="0"/>
              <w:marTop w:val="0"/>
              <w:marBottom w:val="0"/>
              <w:divBdr>
                <w:top w:val="none" w:sz="0" w:space="0" w:color="auto"/>
                <w:left w:val="none" w:sz="0" w:space="0" w:color="auto"/>
                <w:bottom w:val="none" w:sz="0" w:space="0" w:color="auto"/>
                <w:right w:val="none" w:sz="0" w:space="0" w:color="auto"/>
              </w:divBdr>
              <w:divsChild>
                <w:div w:id="624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5658">
      <w:bodyDiv w:val="1"/>
      <w:marLeft w:val="0"/>
      <w:marRight w:val="0"/>
      <w:marTop w:val="0"/>
      <w:marBottom w:val="0"/>
      <w:divBdr>
        <w:top w:val="none" w:sz="0" w:space="0" w:color="auto"/>
        <w:left w:val="none" w:sz="0" w:space="0" w:color="auto"/>
        <w:bottom w:val="none" w:sz="0" w:space="0" w:color="auto"/>
        <w:right w:val="none" w:sz="0" w:space="0" w:color="auto"/>
      </w:divBdr>
      <w:divsChild>
        <w:div w:id="769082374">
          <w:marLeft w:val="0"/>
          <w:marRight w:val="0"/>
          <w:marTop w:val="0"/>
          <w:marBottom w:val="0"/>
          <w:divBdr>
            <w:top w:val="none" w:sz="0" w:space="0" w:color="auto"/>
            <w:left w:val="none" w:sz="0" w:space="0" w:color="auto"/>
            <w:bottom w:val="none" w:sz="0" w:space="0" w:color="auto"/>
            <w:right w:val="none" w:sz="0" w:space="0" w:color="auto"/>
          </w:divBdr>
          <w:divsChild>
            <w:div w:id="489181077">
              <w:marLeft w:val="0"/>
              <w:marRight w:val="0"/>
              <w:marTop w:val="0"/>
              <w:marBottom w:val="0"/>
              <w:divBdr>
                <w:top w:val="none" w:sz="0" w:space="0" w:color="auto"/>
                <w:left w:val="none" w:sz="0" w:space="0" w:color="auto"/>
                <w:bottom w:val="none" w:sz="0" w:space="0" w:color="auto"/>
                <w:right w:val="none" w:sz="0" w:space="0" w:color="auto"/>
              </w:divBdr>
              <w:divsChild>
                <w:div w:id="15469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54168">
      <w:bodyDiv w:val="1"/>
      <w:marLeft w:val="0"/>
      <w:marRight w:val="0"/>
      <w:marTop w:val="0"/>
      <w:marBottom w:val="0"/>
      <w:divBdr>
        <w:top w:val="none" w:sz="0" w:space="0" w:color="auto"/>
        <w:left w:val="none" w:sz="0" w:space="0" w:color="auto"/>
        <w:bottom w:val="none" w:sz="0" w:space="0" w:color="auto"/>
        <w:right w:val="none" w:sz="0" w:space="0" w:color="auto"/>
      </w:divBdr>
    </w:div>
    <w:div w:id="1115632158">
      <w:bodyDiv w:val="1"/>
      <w:marLeft w:val="0"/>
      <w:marRight w:val="0"/>
      <w:marTop w:val="0"/>
      <w:marBottom w:val="0"/>
      <w:divBdr>
        <w:top w:val="none" w:sz="0" w:space="0" w:color="auto"/>
        <w:left w:val="none" w:sz="0" w:space="0" w:color="auto"/>
        <w:bottom w:val="none" w:sz="0" w:space="0" w:color="auto"/>
        <w:right w:val="none" w:sz="0" w:space="0" w:color="auto"/>
      </w:divBdr>
      <w:divsChild>
        <w:div w:id="1303581282">
          <w:marLeft w:val="0"/>
          <w:marRight w:val="0"/>
          <w:marTop w:val="0"/>
          <w:marBottom w:val="0"/>
          <w:divBdr>
            <w:top w:val="none" w:sz="0" w:space="0" w:color="auto"/>
            <w:left w:val="none" w:sz="0" w:space="0" w:color="auto"/>
            <w:bottom w:val="none" w:sz="0" w:space="0" w:color="auto"/>
            <w:right w:val="none" w:sz="0" w:space="0" w:color="auto"/>
          </w:divBdr>
          <w:divsChild>
            <w:div w:id="1158039242">
              <w:marLeft w:val="0"/>
              <w:marRight w:val="0"/>
              <w:marTop w:val="0"/>
              <w:marBottom w:val="0"/>
              <w:divBdr>
                <w:top w:val="none" w:sz="0" w:space="0" w:color="auto"/>
                <w:left w:val="none" w:sz="0" w:space="0" w:color="auto"/>
                <w:bottom w:val="none" w:sz="0" w:space="0" w:color="auto"/>
                <w:right w:val="none" w:sz="0" w:space="0" w:color="auto"/>
              </w:divBdr>
              <w:divsChild>
                <w:div w:id="20001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58626">
      <w:bodyDiv w:val="1"/>
      <w:marLeft w:val="0"/>
      <w:marRight w:val="0"/>
      <w:marTop w:val="0"/>
      <w:marBottom w:val="0"/>
      <w:divBdr>
        <w:top w:val="none" w:sz="0" w:space="0" w:color="auto"/>
        <w:left w:val="none" w:sz="0" w:space="0" w:color="auto"/>
        <w:bottom w:val="none" w:sz="0" w:space="0" w:color="auto"/>
        <w:right w:val="none" w:sz="0" w:space="0" w:color="auto"/>
      </w:divBdr>
    </w:div>
    <w:div w:id="1448040909">
      <w:bodyDiv w:val="1"/>
      <w:marLeft w:val="0"/>
      <w:marRight w:val="0"/>
      <w:marTop w:val="0"/>
      <w:marBottom w:val="0"/>
      <w:divBdr>
        <w:top w:val="none" w:sz="0" w:space="0" w:color="auto"/>
        <w:left w:val="none" w:sz="0" w:space="0" w:color="auto"/>
        <w:bottom w:val="none" w:sz="0" w:space="0" w:color="auto"/>
        <w:right w:val="none" w:sz="0" w:space="0" w:color="auto"/>
      </w:divBdr>
    </w:div>
    <w:div w:id="1473449402">
      <w:bodyDiv w:val="1"/>
      <w:marLeft w:val="0"/>
      <w:marRight w:val="0"/>
      <w:marTop w:val="0"/>
      <w:marBottom w:val="0"/>
      <w:divBdr>
        <w:top w:val="none" w:sz="0" w:space="0" w:color="auto"/>
        <w:left w:val="none" w:sz="0" w:space="0" w:color="auto"/>
        <w:bottom w:val="none" w:sz="0" w:space="0" w:color="auto"/>
        <w:right w:val="none" w:sz="0" w:space="0" w:color="auto"/>
      </w:divBdr>
    </w:div>
    <w:div w:id="1602641344">
      <w:bodyDiv w:val="1"/>
      <w:marLeft w:val="0"/>
      <w:marRight w:val="0"/>
      <w:marTop w:val="0"/>
      <w:marBottom w:val="0"/>
      <w:divBdr>
        <w:top w:val="none" w:sz="0" w:space="0" w:color="auto"/>
        <w:left w:val="none" w:sz="0" w:space="0" w:color="auto"/>
        <w:bottom w:val="none" w:sz="0" w:space="0" w:color="auto"/>
        <w:right w:val="none" w:sz="0" w:space="0" w:color="auto"/>
      </w:divBdr>
      <w:divsChild>
        <w:div w:id="864371729">
          <w:marLeft w:val="0"/>
          <w:marRight w:val="0"/>
          <w:marTop w:val="0"/>
          <w:marBottom w:val="0"/>
          <w:divBdr>
            <w:top w:val="none" w:sz="0" w:space="0" w:color="auto"/>
            <w:left w:val="none" w:sz="0" w:space="0" w:color="auto"/>
            <w:bottom w:val="none" w:sz="0" w:space="0" w:color="auto"/>
            <w:right w:val="none" w:sz="0" w:space="0" w:color="auto"/>
          </w:divBdr>
          <w:divsChild>
            <w:div w:id="1782412578">
              <w:marLeft w:val="0"/>
              <w:marRight w:val="0"/>
              <w:marTop w:val="0"/>
              <w:marBottom w:val="0"/>
              <w:divBdr>
                <w:top w:val="none" w:sz="0" w:space="0" w:color="auto"/>
                <w:left w:val="none" w:sz="0" w:space="0" w:color="auto"/>
                <w:bottom w:val="none" w:sz="0" w:space="0" w:color="auto"/>
                <w:right w:val="none" w:sz="0" w:space="0" w:color="auto"/>
              </w:divBdr>
              <w:divsChild>
                <w:div w:id="148681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0350">
      <w:bodyDiv w:val="1"/>
      <w:marLeft w:val="0"/>
      <w:marRight w:val="0"/>
      <w:marTop w:val="0"/>
      <w:marBottom w:val="0"/>
      <w:divBdr>
        <w:top w:val="none" w:sz="0" w:space="0" w:color="auto"/>
        <w:left w:val="none" w:sz="0" w:space="0" w:color="auto"/>
        <w:bottom w:val="none" w:sz="0" w:space="0" w:color="auto"/>
        <w:right w:val="none" w:sz="0" w:space="0" w:color="auto"/>
      </w:divBdr>
      <w:divsChild>
        <w:div w:id="317617413">
          <w:marLeft w:val="0"/>
          <w:marRight w:val="0"/>
          <w:marTop w:val="0"/>
          <w:marBottom w:val="0"/>
          <w:divBdr>
            <w:top w:val="none" w:sz="0" w:space="0" w:color="auto"/>
            <w:left w:val="none" w:sz="0" w:space="0" w:color="auto"/>
            <w:bottom w:val="none" w:sz="0" w:space="0" w:color="auto"/>
            <w:right w:val="none" w:sz="0" w:space="0" w:color="auto"/>
          </w:divBdr>
          <w:divsChild>
            <w:div w:id="1573197889">
              <w:marLeft w:val="0"/>
              <w:marRight w:val="0"/>
              <w:marTop w:val="0"/>
              <w:marBottom w:val="0"/>
              <w:divBdr>
                <w:top w:val="none" w:sz="0" w:space="0" w:color="auto"/>
                <w:left w:val="none" w:sz="0" w:space="0" w:color="auto"/>
                <w:bottom w:val="none" w:sz="0" w:space="0" w:color="auto"/>
                <w:right w:val="none" w:sz="0" w:space="0" w:color="auto"/>
              </w:divBdr>
              <w:divsChild>
                <w:div w:id="2904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64962">
      <w:bodyDiv w:val="1"/>
      <w:marLeft w:val="0"/>
      <w:marRight w:val="0"/>
      <w:marTop w:val="0"/>
      <w:marBottom w:val="0"/>
      <w:divBdr>
        <w:top w:val="none" w:sz="0" w:space="0" w:color="auto"/>
        <w:left w:val="none" w:sz="0" w:space="0" w:color="auto"/>
        <w:bottom w:val="none" w:sz="0" w:space="0" w:color="auto"/>
        <w:right w:val="none" w:sz="0" w:space="0" w:color="auto"/>
      </w:divBdr>
    </w:div>
    <w:div w:id="1738893069">
      <w:bodyDiv w:val="1"/>
      <w:marLeft w:val="0"/>
      <w:marRight w:val="0"/>
      <w:marTop w:val="0"/>
      <w:marBottom w:val="0"/>
      <w:divBdr>
        <w:top w:val="none" w:sz="0" w:space="0" w:color="auto"/>
        <w:left w:val="none" w:sz="0" w:space="0" w:color="auto"/>
        <w:bottom w:val="none" w:sz="0" w:space="0" w:color="auto"/>
        <w:right w:val="none" w:sz="0" w:space="0" w:color="auto"/>
      </w:divBdr>
      <w:divsChild>
        <w:div w:id="1109396867">
          <w:marLeft w:val="0"/>
          <w:marRight w:val="0"/>
          <w:marTop w:val="0"/>
          <w:marBottom w:val="0"/>
          <w:divBdr>
            <w:top w:val="none" w:sz="0" w:space="0" w:color="auto"/>
            <w:left w:val="none" w:sz="0" w:space="0" w:color="auto"/>
            <w:bottom w:val="none" w:sz="0" w:space="0" w:color="auto"/>
            <w:right w:val="none" w:sz="0" w:space="0" w:color="auto"/>
          </w:divBdr>
          <w:divsChild>
            <w:div w:id="585384202">
              <w:marLeft w:val="0"/>
              <w:marRight w:val="0"/>
              <w:marTop w:val="0"/>
              <w:marBottom w:val="0"/>
              <w:divBdr>
                <w:top w:val="none" w:sz="0" w:space="0" w:color="auto"/>
                <w:left w:val="none" w:sz="0" w:space="0" w:color="auto"/>
                <w:bottom w:val="none" w:sz="0" w:space="0" w:color="auto"/>
                <w:right w:val="none" w:sz="0" w:space="0" w:color="auto"/>
              </w:divBdr>
              <w:divsChild>
                <w:div w:id="16949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6335">
      <w:bodyDiv w:val="1"/>
      <w:marLeft w:val="0"/>
      <w:marRight w:val="0"/>
      <w:marTop w:val="0"/>
      <w:marBottom w:val="0"/>
      <w:divBdr>
        <w:top w:val="none" w:sz="0" w:space="0" w:color="auto"/>
        <w:left w:val="none" w:sz="0" w:space="0" w:color="auto"/>
        <w:bottom w:val="none" w:sz="0" w:space="0" w:color="auto"/>
        <w:right w:val="none" w:sz="0" w:space="0" w:color="auto"/>
      </w:divBdr>
    </w:div>
    <w:div w:id="2041541082">
      <w:bodyDiv w:val="1"/>
      <w:marLeft w:val="0"/>
      <w:marRight w:val="0"/>
      <w:marTop w:val="0"/>
      <w:marBottom w:val="0"/>
      <w:divBdr>
        <w:top w:val="none" w:sz="0" w:space="0" w:color="auto"/>
        <w:left w:val="none" w:sz="0" w:space="0" w:color="auto"/>
        <w:bottom w:val="none" w:sz="0" w:space="0" w:color="auto"/>
        <w:right w:val="none" w:sz="0" w:space="0" w:color="auto"/>
      </w:divBdr>
    </w:div>
    <w:div w:id="207095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sbc.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vsbc.vic.gov.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vsbc.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2DD16A8C14771D49BA5E952E0FE46776" ma:contentTypeVersion="31" ma:contentTypeDescription="DEDJTR Document" ma:contentTypeScope="" ma:versionID="bac074f14e17e68f2b8f95bd1f2085d4">
  <xsd:schema xmlns:xsd="http://www.w3.org/2001/XMLSchema" xmlns:xs="http://www.w3.org/2001/XMLSchema" xmlns:p="http://schemas.microsoft.com/office/2006/metadata/properties" xmlns:ns2="72567383-1e26-4692-bdad-5f5be69e1590" xmlns:ns3="9ceedb1c-f687-4c7d-b70d-d3664efed103" xmlns:ns4="f62bdbb7-d386-4fea-ab9c-281c891cbff1" targetNamespace="http://schemas.microsoft.com/office/2006/metadata/properties" ma:root="true" ma:fieldsID="e0e3a01e0e8a29701bb11c65efa3df1e" ns2:_="" ns3:_="" ns4:_="">
    <xsd:import namespace="72567383-1e26-4692-bdad-5f5be69e1590"/>
    <xsd:import namespace="9ceedb1c-f687-4c7d-b70d-d3664efed103"/>
    <xsd:import namespace="f62bdbb7-d386-4fea-ab9c-281c891cbff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3:SharedWithUsers" minOccurs="0"/>
                <xsd:element ref="ns3:SharedWithDetails" minOccurs="0"/>
                <xsd:element ref="ns4:MediaLengthInSeconds" minOccurs="0"/>
                <xsd:element ref="ns4:Date"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eedb1c-f687-4c7d-b70d-d3664efed103"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6dd991c-cc74-4093-8b47-b8bbc5a6296b}" ma:internalName="TaxCatchAll" ma:showField="CatchAllData" ma:web="9ceedb1c-f687-4c7d-b70d-d3664efed10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dd991c-cc74-4093-8b47-b8bbc5a6296b}" ma:internalName="TaxCatchAllLabel" ma:readOnly="true" ma:showField="CatchAllDataLabel" ma:web="9ceedb1c-f687-4c7d-b70d-d3664efed103">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bdbb7-d386-4fea-ab9c-281c891cbff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Location" ma:index="24" nillable="true" ma:displayName="MediaServiceLoca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Date" ma:index="33" nillable="true" ma:displayName="Date" ma:format="DateTime" ma:internalName="Date">
      <xsd:simpleType>
        <xsd:restriction base="dms:DateTim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Small Business Commission</TermName>
          <TermId xmlns="http://schemas.microsoft.com/office/infopath/2007/PartnerControls">c496d8bd-8e1d-4703-8b98-f3d591901429</TermId>
        </TermInfo>
      </Terms>
    </e4da834bacf8456d94e18d5d66490b90>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Employment Investment and Trade</TermName>
          <TermId xmlns="http://schemas.microsoft.com/office/infopath/2007/PartnerControls">55ce1999-68b6-4f37-bdce-009ad410cd2a</TermId>
        </TermInfo>
      </Terms>
    </be9de15831a746f4b3f0ba041df97669>
    <TaxCatchAll xmlns="9ceedb1c-f687-4c7d-b70d-d3664efed103">
      <Value>2</Value>
      <Value>1</Value>
    </TaxCatchAll>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d8b18ebf729c4d56932fa517449ed5cb xmlns="72567383-1e26-4692-bdad-5f5be69e1590">
      <Terms xmlns="http://schemas.microsoft.com/office/infopath/2007/PartnerControls"/>
    </d8b18ebf729c4d56932fa517449ed5cb>
    <Date xmlns="f62bdbb7-d386-4fea-ab9c-281c891cbff1" xsi:nil="true"/>
    <SharedWithUsers xmlns="9ceedb1c-f687-4c7d-b70d-d3664efed103">
      <UserInfo>
        <DisplayName>Alice M Bradshaw (VSBC)</DisplayName>
        <AccountId>38</AccountId>
        <AccountType/>
      </UserInfo>
      <UserInfo>
        <DisplayName>Cate L Pratt (VSBC)</DisplayName>
        <AccountId>32</AccountId>
        <AccountType/>
      </UserInfo>
      <UserInfo>
        <DisplayName>Lynda McAlary-Smith (VSBC)</DisplayName>
        <AccountId>284</AccountId>
        <AccountType/>
      </UserInfo>
    </SharedWithUsers>
    <lcf76f155ced4ddcb4097134ff3c332f xmlns="f62bdbb7-d386-4fea-ab9c-281c891cbf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8AC460-01DB-4170-8D5D-9BE6C44BE781}">
  <ds:schemaRefs>
    <ds:schemaRef ds:uri="http://schemas.microsoft.com/sharepoint/v3/contenttype/forms"/>
  </ds:schemaRefs>
</ds:datastoreItem>
</file>

<file path=customXml/itemProps2.xml><?xml version="1.0" encoding="utf-8"?>
<ds:datastoreItem xmlns:ds="http://schemas.openxmlformats.org/officeDocument/2006/customXml" ds:itemID="{450A1D03-0877-4CF4-8EA1-C00F31418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9ceedb1c-f687-4c7d-b70d-d3664efed103"/>
    <ds:schemaRef ds:uri="f62bdbb7-d386-4fea-ab9c-281c891cb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50454-7F99-408F-B2C7-97C7532F9C3A}">
  <ds:schemaRefs>
    <ds:schemaRef ds:uri="http://schemas.microsoft.com/office/2006/metadata/properties"/>
    <ds:schemaRef ds:uri="http://schemas.microsoft.com/office/infopath/2007/PartnerControls"/>
    <ds:schemaRef ds:uri="72567383-1e26-4692-bdad-5f5be69e1590"/>
    <ds:schemaRef ds:uri="9ceedb1c-f687-4c7d-b70d-d3664efed103"/>
    <ds:schemaRef ds:uri="f62bdbb7-d386-4fea-ab9c-281c891cbff1"/>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Harris (DEDJTR)</dc:creator>
  <cp:keywords/>
  <dc:description/>
  <cp:lastModifiedBy>Cate L Pratt (VSBC)</cp:lastModifiedBy>
  <cp:revision>2</cp:revision>
  <cp:lastPrinted>2019-05-22T20:15:00Z</cp:lastPrinted>
  <dcterms:created xsi:type="dcterms:W3CDTF">2024-04-30T03:37:00Z</dcterms:created>
  <dcterms:modified xsi:type="dcterms:W3CDTF">2024-04-30T03:37:00Z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Division">
    <vt:lpwstr>1;#Employment Investment and Trade|55ce1999-68b6-4f37-bdce-009ad410cd2a</vt:lpwstr>
  </property>
  <property fmtid="{D5CDD505-2E9C-101B-9397-08002B2CF9AE}" pid="3" name="ContentTypeId">
    <vt:lpwstr>0x010100611F6414DFB111E7BA88F9DF1743E317002DD16A8C14771D49BA5E952E0FE46776</vt:lpwstr>
  </property>
  <property fmtid="{D5CDD505-2E9C-101B-9397-08002B2CF9AE}" pid="4" name="DEDJTRSecurityClassification">
    <vt:lpwstr/>
  </property>
  <property fmtid="{D5CDD505-2E9C-101B-9397-08002B2CF9AE}" pid="5" name="DEDJTRSection">
    <vt:lpwstr/>
  </property>
  <property fmtid="{D5CDD505-2E9C-101B-9397-08002B2CF9AE}" pid="6" name="DEDJTRBranch">
    <vt:lpwstr/>
  </property>
  <property fmtid="{D5CDD505-2E9C-101B-9397-08002B2CF9AE}" pid="7" name="DEDJTRGroup">
    <vt:lpwstr>2;#Small Business Commission|c496d8bd-8e1d-4703-8b98-f3d591901429</vt:lpwstr>
  </property>
  <property fmtid="{D5CDD505-2E9C-101B-9397-08002B2CF9AE}" pid="8" name="MediaServiceImageTags">
    <vt:lpwstr/>
  </property>
  <property fmtid="{D5CDD505-2E9C-101B-9397-08002B2CF9AE}" pid="9" name="MSIP_Label_d00a4df9-c942-4b09-b23a-6c1023f6de27_Enabled">
    <vt:lpwstr>true</vt:lpwstr>
  </property>
  <property fmtid="{D5CDD505-2E9C-101B-9397-08002B2CF9AE}" pid="10" name="MSIP_Label_d00a4df9-c942-4b09-b23a-6c1023f6de27_SetDate">
    <vt:lpwstr>2024-04-30T03:37:25Z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fcbd3bc9-3e70-436c-8800-cbf1208e6895</vt:lpwstr>
  </property>
  <property fmtid="{D5CDD505-2E9C-101B-9397-08002B2CF9AE}" pid="15" name="MSIP_Label_d00a4df9-c942-4b09-b23a-6c1023f6de27_ContentBits">
    <vt:lpwstr>3</vt:lpwstr>
  </property>
</Properties>
</file>