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9B69" w14:textId="77777777" w:rsidR="00EB1FEE" w:rsidRDefault="00F15276" w:rsidP="00F15276">
      <w:pPr>
        <w:ind w:left="6480"/>
        <w:rPr>
          <w:rFonts w:ascii="Arial Black" w:hAnsi="Arial Black" w:cs="Arial"/>
          <w:b/>
          <w:bCs/>
          <w:u w:val="single"/>
        </w:rPr>
      </w:pPr>
      <w:r>
        <w:rPr>
          <w:noProof/>
          <w:lang w:eastAsia="en-AU"/>
        </w:rPr>
        <w:drawing>
          <wp:inline distT="0" distB="0" distL="0" distR="0" wp14:anchorId="45E39BF3" wp14:editId="1FDFC00E">
            <wp:extent cx="2045335" cy="7678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7401" cy="779900"/>
                    </a:xfrm>
                    <a:prstGeom prst="rect">
                      <a:avLst/>
                    </a:prstGeom>
                    <a:noFill/>
                    <a:ln>
                      <a:noFill/>
                    </a:ln>
                  </pic:spPr>
                </pic:pic>
              </a:graphicData>
            </a:graphic>
          </wp:inline>
        </w:drawing>
      </w:r>
    </w:p>
    <w:p w14:paraId="45E39B6A" w14:textId="77777777" w:rsidR="00EB1FEE" w:rsidRDefault="00BA5B5E" w:rsidP="00337165">
      <w:pPr>
        <w:rPr>
          <w:rFonts w:ascii="Arial Black" w:hAnsi="Arial Black" w:cs="Arial"/>
          <w:b/>
          <w:bCs/>
          <w:u w:val="single"/>
        </w:rPr>
      </w:pPr>
      <w:r>
        <w:rPr>
          <w:rFonts w:ascii="Arial Black" w:hAnsi="Arial Black" w:cs="Arial"/>
          <w:b/>
          <w:bCs/>
          <w:u w:val="single"/>
        </w:rPr>
        <w:t>Information Sheet – Outgoings</w:t>
      </w:r>
    </w:p>
    <w:p w14:paraId="45E39B6B" w14:textId="77777777" w:rsidR="00EB1FEE" w:rsidRDefault="00EB1FEE" w:rsidP="00337165">
      <w:pPr>
        <w:rPr>
          <w:rFonts w:ascii="Arial Black" w:hAnsi="Arial Black" w:cs="Arial"/>
          <w:b/>
          <w:bCs/>
          <w:u w:val="single"/>
        </w:rPr>
      </w:pPr>
    </w:p>
    <w:p w14:paraId="45E39B6C" w14:textId="77777777" w:rsidR="00EB1FEE" w:rsidRDefault="00BA5B5E" w:rsidP="00337165">
      <w:pPr>
        <w:pStyle w:val="Heading1"/>
        <w:rPr>
          <w:rFonts w:ascii="Arial Black" w:hAnsi="Arial Black" w:cs="Arial"/>
          <w:b w:val="0"/>
        </w:rPr>
      </w:pPr>
      <w:r>
        <w:rPr>
          <w:rFonts w:ascii="Arial Black" w:hAnsi="Arial Black" w:cs="Arial"/>
          <w:b w:val="0"/>
        </w:rPr>
        <w:t>What are outgoings?</w:t>
      </w:r>
    </w:p>
    <w:p w14:paraId="45E39B6D" w14:textId="77777777" w:rsidR="00EB1FEE" w:rsidRDefault="00EB1FEE" w:rsidP="00337165">
      <w:pPr>
        <w:pStyle w:val="Heading1"/>
        <w:rPr>
          <w:b w:val="0"/>
        </w:rPr>
      </w:pPr>
    </w:p>
    <w:p w14:paraId="45E39B6E" w14:textId="77777777" w:rsidR="00EB1FEE" w:rsidRDefault="00BA5B5E" w:rsidP="00337165">
      <w:pPr>
        <w:spacing w:after="120"/>
      </w:pPr>
      <w:r>
        <w:t>Outgoings are costs incurred by a landlord in relation to a premises or in the case of a multi occupancy property, such as a shopping centre, the premises and the property.</w:t>
      </w:r>
    </w:p>
    <w:p w14:paraId="45E39B6F" w14:textId="77777777" w:rsidR="00EB1FEE" w:rsidRDefault="00BA5B5E" w:rsidP="00337165">
      <w:pPr>
        <w:spacing w:after="120"/>
      </w:pPr>
      <w:r>
        <w:t xml:space="preserve">The </w:t>
      </w:r>
      <w:r>
        <w:rPr>
          <w:i/>
        </w:rPr>
        <w:t>Retail Leases Act 2003</w:t>
      </w:r>
      <w:r>
        <w:t xml:space="preserve"> (Vic)(the </w:t>
      </w:r>
      <w:r w:rsidRPr="00613544">
        <w:rPr>
          <w:b/>
        </w:rPr>
        <w:t>Act</w:t>
      </w:r>
      <w:r>
        <w:t>) contains provisions relating to 'outgoings'.</w:t>
      </w:r>
    </w:p>
    <w:p w14:paraId="45E39B70" w14:textId="77777777" w:rsidR="00EB1FEE" w:rsidRDefault="00BA5B5E" w:rsidP="00337165">
      <w:pPr>
        <w:pStyle w:val="Heading1"/>
        <w:rPr>
          <w:b w:val="0"/>
        </w:rPr>
      </w:pPr>
      <w:r>
        <w:rPr>
          <w:b w:val="0"/>
        </w:rPr>
        <w:t>The Act (section 3) defines ‘outgoings’ as follows:</w:t>
      </w:r>
    </w:p>
    <w:p w14:paraId="45E39B71" w14:textId="77777777" w:rsidR="00EB1FEE" w:rsidRDefault="00EB1FEE" w:rsidP="00337165">
      <w:pPr>
        <w:pStyle w:val="Heading1"/>
        <w:rPr>
          <w:b w:val="0"/>
        </w:rPr>
      </w:pPr>
    </w:p>
    <w:p w14:paraId="45E39B72" w14:textId="77777777" w:rsidR="00EB1FEE" w:rsidRPr="00613544" w:rsidRDefault="00BA5B5E" w:rsidP="00337165">
      <w:pPr>
        <w:autoSpaceDE w:val="0"/>
        <w:autoSpaceDN w:val="0"/>
        <w:adjustRightInd w:val="0"/>
        <w:rPr>
          <w:lang w:eastAsia="en-AU"/>
        </w:rPr>
      </w:pPr>
      <w:r w:rsidRPr="00613544">
        <w:rPr>
          <w:b/>
          <w:bCs/>
          <w:i/>
          <w:iCs/>
          <w:lang w:eastAsia="en-AU"/>
        </w:rPr>
        <w:t xml:space="preserve">‘outgoings </w:t>
      </w:r>
      <w:r w:rsidRPr="00613544">
        <w:rPr>
          <w:lang w:eastAsia="en-AU"/>
        </w:rPr>
        <w:t>means a landlord's outgoings on account of any of the following—</w:t>
      </w:r>
    </w:p>
    <w:p w14:paraId="45E39B73" w14:textId="77777777" w:rsidR="00EB1FEE" w:rsidRPr="00613544" w:rsidRDefault="00EB1FEE" w:rsidP="00337165">
      <w:pPr>
        <w:autoSpaceDE w:val="0"/>
        <w:autoSpaceDN w:val="0"/>
        <w:adjustRightInd w:val="0"/>
        <w:rPr>
          <w:lang w:eastAsia="en-AU"/>
        </w:rPr>
      </w:pPr>
    </w:p>
    <w:p w14:paraId="45E39B74" w14:textId="77777777" w:rsidR="00EB1FEE" w:rsidRPr="00613544" w:rsidRDefault="00BA5B5E" w:rsidP="00337165">
      <w:pPr>
        <w:numPr>
          <w:ilvl w:val="0"/>
          <w:numId w:val="41"/>
        </w:numPr>
        <w:autoSpaceDE w:val="0"/>
        <w:autoSpaceDN w:val="0"/>
        <w:adjustRightInd w:val="0"/>
        <w:spacing w:after="120"/>
        <w:ind w:left="709" w:hanging="567"/>
        <w:rPr>
          <w:lang w:eastAsia="en-AU"/>
        </w:rPr>
      </w:pPr>
      <w:r w:rsidRPr="00613544">
        <w:rPr>
          <w:lang w:eastAsia="en-AU"/>
        </w:rPr>
        <w:t>the expenses directly attributable to the operation, maintenance or repair of—</w:t>
      </w:r>
    </w:p>
    <w:p w14:paraId="45E39B75" w14:textId="77777777" w:rsidR="00EB1FEE" w:rsidRPr="00613544" w:rsidRDefault="00BA5B5E" w:rsidP="00337165">
      <w:pPr>
        <w:autoSpaceDE w:val="0"/>
        <w:autoSpaceDN w:val="0"/>
        <w:adjustRightInd w:val="0"/>
        <w:spacing w:after="120"/>
        <w:ind w:left="1134" w:hanging="425"/>
        <w:rPr>
          <w:lang w:eastAsia="en-AU"/>
        </w:rPr>
      </w:pPr>
      <w:r w:rsidRPr="00613544">
        <w:rPr>
          <w:lang w:eastAsia="en-AU"/>
        </w:rPr>
        <w:t xml:space="preserve">(i) </w:t>
      </w:r>
      <w:r w:rsidRPr="00613544">
        <w:rPr>
          <w:lang w:eastAsia="en-AU"/>
        </w:rPr>
        <w:tab/>
        <w:t>the building in which the retail premises are located or any other building or area owned by the landlord and used in association with the building in which the retail premises are located; or</w:t>
      </w:r>
    </w:p>
    <w:p w14:paraId="45E39B76" w14:textId="77777777" w:rsidR="00EB1FEE" w:rsidRPr="00613544" w:rsidRDefault="00BA5B5E" w:rsidP="00337165">
      <w:pPr>
        <w:autoSpaceDE w:val="0"/>
        <w:autoSpaceDN w:val="0"/>
        <w:adjustRightInd w:val="0"/>
        <w:ind w:left="1134" w:hanging="425"/>
        <w:rPr>
          <w:lang w:eastAsia="en-AU"/>
        </w:rPr>
      </w:pPr>
      <w:r w:rsidRPr="00613544">
        <w:rPr>
          <w:lang w:eastAsia="en-AU"/>
        </w:rPr>
        <w:t xml:space="preserve">(ii) </w:t>
      </w:r>
      <w:r w:rsidRPr="00613544">
        <w:rPr>
          <w:lang w:eastAsia="en-AU"/>
        </w:rPr>
        <w:tab/>
        <w:t>in the case of retail premises in a retail shopping centre, any building in the centre or any areas used in association with a building in the centre;</w:t>
      </w:r>
    </w:p>
    <w:p w14:paraId="45E39B77" w14:textId="77777777" w:rsidR="00EB1FEE" w:rsidRPr="00613544" w:rsidRDefault="00EB1FEE" w:rsidP="00337165">
      <w:pPr>
        <w:autoSpaceDE w:val="0"/>
        <w:autoSpaceDN w:val="0"/>
        <w:adjustRightInd w:val="0"/>
        <w:rPr>
          <w:lang w:eastAsia="en-AU"/>
        </w:rPr>
      </w:pPr>
    </w:p>
    <w:p w14:paraId="45E39B78" w14:textId="77777777" w:rsidR="00EB1FEE" w:rsidRPr="00613544" w:rsidRDefault="00BA5B5E" w:rsidP="00337165">
      <w:pPr>
        <w:autoSpaceDE w:val="0"/>
        <w:autoSpaceDN w:val="0"/>
        <w:adjustRightInd w:val="0"/>
        <w:spacing w:after="120"/>
        <w:ind w:left="709" w:hanging="567"/>
        <w:rPr>
          <w:lang w:eastAsia="en-AU"/>
        </w:rPr>
      </w:pPr>
      <w:r w:rsidRPr="00613544">
        <w:rPr>
          <w:lang w:eastAsia="en-AU"/>
        </w:rPr>
        <w:t xml:space="preserve">(b) </w:t>
      </w:r>
      <w:r w:rsidRPr="00613544">
        <w:rPr>
          <w:lang w:eastAsia="en-AU"/>
        </w:rPr>
        <w:tab/>
        <w:t>rates, taxes, levies, premiums or charges payable by the landlord because the landlord is—</w:t>
      </w:r>
    </w:p>
    <w:p w14:paraId="45E39B79" w14:textId="77777777" w:rsidR="00EB1FEE" w:rsidRPr="00613544" w:rsidRDefault="00BA5B5E" w:rsidP="00337165">
      <w:pPr>
        <w:autoSpaceDE w:val="0"/>
        <w:autoSpaceDN w:val="0"/>
        <w:adjustRightInd w:val="0"/>
        <w:spacing w:after="120"/>
        <w:ind w:left="1134" w:hanging="425"/>
        <w:rPr>
          <w:lang w:eastAsia="en-AU"/>
        </w:rPr>
      </w:pPr>
      <w:r w:rsidRPr="00613544">
        <w:rPr>
          <w:lang w:eastAsia="en-AU"/>
        </w:rPr>
        <w:t xml:space="preserve">(i) </w:t>
      </w:r>
      <w:r w:rsidRPr="00613544">
        <w:rPr>
          <w:lang w:eastAsia="en-AU"/>
        </w:rPr>
        <w:tab/>
        <w:t>the owner or occupier of a building referred to in paragraph (a) or of the land on which such a building is erected; or</w:t>
      </w:r>
    </w:p>
    <w:p w14:paraId="45E39B7A" w14:textId="77777777" w:rsidR="00EB1FEE" w:rsidRDefault="00BA5B5E" w:rsidP="00337165">
      <w:pPr>
        <w:autoSpaceDE w:val="0"/>
        <w:autoSpaceDN w:val="0"/>
        <w:adjustRightInd w:val="0"/>
        <w:spacing w:after="120"/>
        <w:ind w:left="1134" w:hanging="425"/>
        <w:rPr>
          <w:b/>
        </w:rPr>
      </w:pPr>
      <w:r w:rsidRPr="00613544">
        <w:rPr>
          <w:lang w:eastAsia="en-AU"/>
        </w:rPr>
        <w:t xml:space="preserve">(ii) </w:t>
      </w:r>
      <w:r w:rsidRPr="00613544">
        <w:rPr>
          <w:lang w:eastAsia="en-AU"/>
        </w:rPr>
        <w:tab/>
        <w:t xml:space="preserve">the supplier of a taxable supply, within the meaning of the </w:t>
      </w:r>
      <w:r w:rsidRPr="00613544">
        <w:rPr>
          <w:i/>
          <w:lang w:eastAsia="en-AU"/>
        </w:rPr>
        <w:t>A New Tax System (Goods and Services Tax) Act 1999</w:t>
      </w:r>
      <w:r w:rsidRPr="00613544">
        <w:rPr>
          <w:lang w:eastAsia="en-AU"/>
        </w:rPr>
        <w:t xml:space="preserve"> (Cth), in respect of any such building or land.’</w:t>
      </w:r>
    </w:p>
    <w:p w14:paraId="45E39B7B" w14:textId="77777777" w:rsidR="00EB1FEE" w:rsidRDefault="00BA5B5E" w:rsidP="00337165">
      <w:pPr>
        <w:pStyle w:val="Heading1"/>
        <w:rPr>
          <w:rFonts w:ascii="Arial Black" w:hAnsi="Arial Black" w:cs="Arial"/>
          <w:b w:val="0"/>
        </w:rPr>
      </w:pPr>
      <w:r>
        <w:rPr>
          <w:rFonts w:ascii="Arial Black" w:hAnsi="Arial Black" w:cs="Arial"/>
          <w:b w:val="0"/>
        </w:rPr>
        <w:t>Can outgoings be passed onto a tenant?</w:t>
      </w:r>
    </w:p>
    <w:p w14:paraId="45E39B7C" w14:textId="77777777" w:rsidR="00EB1FEE" w:rsidRDefault="00EB1FEE" w:rsidP="00337165"/>
    <w:p w14:paraId="45E39B7D" w14:textId="77777777" w:rsidR="00EB1FEE" w:rsidRDefault="00BA5B5E" w:rsidP="00337165">
      <w:r>
        <w:t>Whether outgoings can be passed onto a tenant primarily depends on what has been agreed between a landlord and tenant in a retail lease agreement.</w:t>
      </w:r>
    </w:p>
    <w:p w14:paraId="45E39B7E" w14:textId="77777777" w:rsidR="00EB1FEE" w:rsidRDefault="00BA5B5E" w:rsidP="00337165">
      <w:pPr>
        <w:spacing w:before="240"/>
      </w:pPr>
      <w:r>
        <w:t>The parties will usually agree that the landlord is entitled to pass on the cost of specified outgoings to the tenant.</w:t>
      </w:r>
      <w:r w:rsidR="001C36AB">
        <w:t xml:space="preserve">  </w:t>
      </w:r>
      <w:r>
        <w:t xml:space="preserve">However, this is not always the case.  The parties </w:t>
      </w:r>
      <w:r w:rsidR="008D4D05">
        <w:t xml:space="preserve">may </w:t>
      </w:r>
      <w:r>
        <w:t>agree that the tenant only pays</w:t>
      </w:r>
      <w:r w:rsidR="001C36AB">
        <w:t xml:space="preserve"> </w:t>
      </w:r>
      <w:r>
        <w:t xml:space="preserve">rent and </w:t>
      </w:r>
      <w:r w:rsidR="001C36AB">
        <w:t>no outgoings.</w:t>
      </w:r>
    </w:p>
    <w:p w14:paraId="45E39B7F" w14:textId="77777777" w:rsidR="00EB1FEE" w:rsidRDefault="00BA5B5E" w:rsidP="00337165">
      <w:pPr>
        <w:spacing w:before="240"/>
      </w:pPr>
      <w:r>
        <w:t>If the Act applies, a landlord cannot pass outgoings onto a tenant unless the tenant has been given an estimate of outgoings (see further below).</w:t>
      </w:r>
    </w:p>
    <w:p w14:paraId="45E39B80" w14:textId="77777777" w:rsidR="00EB1FEE" w:rsidRDefault="00EB1FEE" w:rsidP="00337165"/>
    <w:p w14:paraId="45E39B81" w14:textId="77777777" w:rsidR="00EB1FEE" w:rsidRDefault="00BA5B5E" w:rsidP="00337165">
      <w:pPr>
        <w:spacing w:after="120"/>
      </w:pPr>
      <w:r>
        <w:t>The lease may specify that the tenant must pay particular outgoings:</w:t>
      </w:r>
    </w:p>
    <w:p w14:paraId="45E39B82" w14:textId="77777777" w:rsidR="00EB1FEE" w:rsidRDefault="00BA5B5E" w:rsidP="00337165">
      <w:pPr>
        <w:numPr>
          <w:ilvl w:val="0"/>
          <w:numId w:val="45"/>
        </w:numPr>
        <w:spacing w:after="120"/>
      </w:pPr>
      <w:r>
        <w:lastRenderedPageBreak/>
        <w:t>directly to the service provider;  or</w:t>
      </w:r>
    </w:p>
    <w:p w14:paraId="45E39B83" w14:textId="77777777" w:rsidR="00EB1FEE" w:rsidRDefault="00BA5B5E" w:rsidP="00337165">
      <w:pPr>
        <w:numPr>
          <w:ilvl w:val="0"/>
          <w:numId w:val="45"/>
        </w:numPr>
        <w:spacing w:after="120"/>
      </w:pPr>
      <w:r>
        <w:t>to the landlord either before or after payment of the outgoing to the service provider by the landlord.</w:t>
      </w:r>
    </w:p>
    <w:p w14:paraId="45E39B84" w14:textId="77777777" w:rsidR="009A1396" w:rsidRDefault="009A1396" w:rsidP="00337165">
      <w:pPr>
        <w:pStyle w:val="Heading1"/>
      </w:pPr>
      <w:r w:rsidRPr="00613544">
        <w:rPr>
          <w:rFonts w:ascii="Arial Black" w:hAnsi="Arial Black"/>
        </w:rPr>
        <w:t>Tenants may be charged GST on outgoings</w:t>
      </w:r>
      <w:r>
        <w:t xml:space="preserve">  </w:t>
      </w:r>
    </w:p>
    <w:p w14:paraId="45E39B85" w14:textId="77777777" w:rsidR="009A1396" w:rsidRPr="007B3838" w:rsidRDefault="009A1396" w:rsidP="00337165"/>
    <w:p w14:paraId="45E39B86" w14:textId="77777777" w:rsidR="009A1396" w:rsidRDefault="009A1396" w:rsidP="00337165">
      <w:r>
        <w:t>A tenant may be required to pay goods and services tax (</w:t>
      </w:r>
      <w:r w:rsidRPr="00337165">
        <w:rPr>
          <w:b/>
        </w:rPr>
        <w:t>GST</w:t>
      </w:r>
      <w:r>
        <w:t>) on outgoings payable by the tenant depending on a number of factors such as whether the landlord is registered for GST, whether the supply of the relevant service is a taxable supply, and whether the lease allows the landlord to pass on GST to the tenant.</w:t>
      </w:r>
    </w:p>
    <w:p w14:paraId="45E39B87" w14:textId="77777777" w:rsidR="009A1396" w:rsidRDefault="009A1396" w:rsidP="00337165">
      <w:pPr>
        <w:spacing w:before="240"/>
      </w:pPr>
      <w:r>
        <w:t>Further information may be obtained from the Goods and Services Tax Determination (GSTD 2000/10) issued by the Australian Tax Office (</w:t>
      </w:r>
      <w:r w:rsidRPr="00337165">
        <w:rPr>
          <w:b/>
        </w:rPr>
        <w:t>ATO</w:t>
      </w:r>
      <w:r>
        <w:t>).  Tenants and landlords requiring further information may also wish to contact the ATO.</w:t>
      </w:r>
    </w:p>
    <w:p w14:paraId="45E39B88" w14:textId="77777777" w:rsidR="009A1396" w:rsidRDefault="009A1396" w:rsidP="00337165">
      <w:pPr>
        <w:pStyle w:val="Heading1"/>
        <w:rPr>
          <w:rFonts w:ascii="Arial Black" w:hAnsi="Arial Black" w:cs="Arial"/>
          <w:b w:val="0"/>
        </w:rPr>
      </w:pPr>
    </w:p>
    <w:p w14:paraId="45E39B89" w14:textId="77777777" w:rsidR="00EB1FEE" w:rsidRDefault="00BA5B5E" w:rsidP="00337165">
      <w:pPr>
        <w:pStyle w:val="Heading1"/>
        <w:rPr>
          <w:rFonts w:ascii="Arial Black" w:hAnsi="Arial Black" w:cs="Arial"/>
          <w:b w:val="0"/>
        </w:rPr>
      </w:pPr>
      <w:r>
        <w:rPr>
          <w:rFonts w:ascii="Arial Black" w:hAnsi="Arial Black" w:cs="Arial"/>
          <w:b w:val="0"/>
        </w:rPr>
        <w:t>Some outgoings cannot be passed onto tenants</w:t>
      </w:r>
    </w:p>
    <w:p w14:paraId="45E39B8A" w14:textId="77777777" w:rsidR="00EB1FEE" w:rsidRDefault="00BA5B5E" w:rsidP="00337165">
      <w:pPr>
        <w:spacing w:before="240"/>
      </w:pPr>
      <w:r>
        <w:t>The Act provides that the following outgoings cannot be passed onto tenants:</w:t>
      </w:r>
      <w:r>
        <w:br/>
      </w:r>
    </w:p>
    <w:p w14:paraId="45E39B8B" w14:textId="77777777" w:rsidR="00EB1FEE" w:rsidRDefault="00BA5B5E" w:rsidP="00337165">
      <w:pPr>
        <w:numPr>
          <w:ilvl w:val="0"/>
          <w:numId w:val="46"/>
        </w:numPr>
      </w:pPr>
      <w:r>
        <w:t>land tax;</w:t>
      </w:r>
    </w:p>
    <w:p w14:paraId="45E39B8C" w14:textId="77777777" w:rsidR="00EB1FEE" w:rsidRDefault="00BA5B5E" w:rsidP="00337165">
      <w:pPr>
        <w:numPr>
          <w:ilvl w:val="0"/>
          <w:numId w:val="46"/>
        </w:numPr>
      </w:pPr>
      <w:r>
        <w:t>expenses that do not benefit the premises;</w:t>
      </w:r>
    </w:p>
    <w:p w14:paraId="45E39B8D" w14:textId="77777777" w:rsidR="00EB1FEE" w:rsidRDefault="00BA5B5E" w:rsidP="00337165">
      <w:pPr>
        <w:numPr>
          <w:ilvl w:val="0"/>
          <w:numId w:val="46"/>
        </w:numPr>
      </w:pPr>
      <w:r>
        <w:t>contributions to a sinking fund for capital works;</w:t>
      </w:r>
    </w:p>
    <w:p w14:paraId="45E39B8E" w14:textId="77777777" w:rsidR="00EB1FEE" w:rsidRDefault="00BA5B5E" w:rsidP="00337165">
      <w:pPr>
        <w:numPr>
          <w:ilvl w:val="0"/>
          <w:numId w:val="46"/>
        </w:numPr>
      </w:pPr>
      <w:r>
        <w:t>rent payable by the landlord in respect of any head lease;</w:t>
      </w:r>
    </w:p>
    <w:p w14:paraId="45E39B8F" w14:textId="77777777" w:rsidR="0027075D" w:rsidRDefault="0027075D" w:rsidP="00337165">
      <w:pPr>
        <w:numPr>
          <w:ilvl w:val="0"/>
          <w:numId w:val="46"/>
        </w:numPr>
      </w:pPr>
      <w:r>
        <w:t>management fees, unless the management fees relate to the management of the building or shopping centre in which the premises are located;</w:t>
      </w:r>
    </w:p>
    <w:p w14:paraId="45E39B90" w14:textId="77777777" w:rsidR="00EB1FEE" w:rsidRDefault="001C36AB" w:rsidP="00337165">
      <w:pPr>
        <w:numPr>
          <w:ilvl w:val="0"/>
          <w:numId w:val="46"/>
        </w:numPr>
      </w:pPr>
      <w:r>
        <w:t xml:space="preserve">capital costs; </w:t>
      </w:r>
      <w:r w:rsidR="00BA5B5E">
        <w:t>and</w:t>
      </w:r>
    </w:p>
    <w:p w14:paraId="45E39B91" w14:textId="77777777" w:rsidR="00EB1FEE" w:rsidRDefault="00BA5B5E" w:rsidP="00337165">
      <w:pPr>
        <w:numPr>
          <w:ilvl w:val="0"/>
          <w:numId w:val="46"/>
        </w:numPr>
      </w:pPr>
      <w:r>
        <w:t>interest on borrowings.</w:t>
      </w:r>
    </w:p>
    <w:p w14:paraId="45E39B92" w14:textId="77777777" w:rsidR="00EB1FEE" w:rsidRDefault="00BA5B5E" w:rsidP="00337165">
      <w:pPr>
        <w:spacing w:before="240"/>
      </w:pPr>
      <w:r>
        <w:t>Additionally, a landlord is not permitted to pass on costs in relation to:</w:t>
      </w:r>
      <w:r>
        <w:br/>
      </w:r>
    </w:p>
    <w:p w14:paraId="45E39B93" w14:textId="77777777" w:rsidR="00EB1FEE" w:rsidRDefault="00BA5B5E" w:rsidP="00337165">
      <w:pPr>
        <w:numPr>
          <w:ilvl w:val="0"/>
          <w:numId w:val="47"/>
        </w:numPr>
        <w:rPr>
          <w:lang w:eastAsia="en-AU"/>
        </w:rPr>
      </w:pPr>
      <w:r>
        <w:t xml:space="preserve">legal or other expenses relating to </w:t>
      </w:r>
      <w:r>
        <w:rPr>
          <w:lang w:eastAsia="en-AU"/>
        </w:rPr>
        <w:t>the negotiation, preparation or execution of the lease;</w:t>
      </w:r>
    </w:p>
    <w:p w14:paraId="45E39B94" w14:textId="77777777" w:rsidR="00EB1FEE" w:rsidRDefault="00BA5B5E" w:rsidP="00337165">
      <w:pPr>
        <w:numPr>
          <w:ilvl w:val="0"/>
          <w:numId w:val="47"/>
        </w:numPr>
        <w:rPr>
          <w:lang w:eastAsia="en-AU"/>
        </w:rPr>
      </w:pPr>
      <w:r>
        <w:rPr>
          <w:lang w:eastAsia="en-AU"/>
        </w:rPr>
        <w:t>obtaining the consent of a mortgagee to the lease; or</w:t>
      </w:r>
    </w:p>
    <w:p w14:paraId="45E39B95" w14:textId="77777777" w:rsidR="00EB1FEE" w:rsidRDefault="00BA5B5E" w:rsidP="00337165">
      <w:pPr>
        <w:numPr>
          <w:ilvl w:val="0"/>
          <w:numId w:val="47"/>
        </w:numPr>
        <w:rPr>
          <w:lang w:eastAsia="en-AU"/>
        </w:rPr>
      </w:pPr>
      <w:r>
        <w:rPr>
          <w:lang w:eastAsia="en-AU"/>
        </w:rPr>
        <w:t>the landlord's compliance with the Act.</w:t>
      </w:r>
    </w:p>
    <w:p w14:paraId="45E39B96" w14:textId="77777777" w:rsidR="00EB1FEE" w:rsidRDefault="00EB1FEE" w:rsidP="00337165">
      <w:pPr>
        <w:rPr>
          <w:rFonts w:ascii="TimesNewRomanPSMT" w:hAnsi="TimesNewRomanPSMT" w:cs="TimesNewRomanPSMT"/>
          <w:lang w:eastAsia="en-AU"/>
        </w:rPr>
      </w:pPr>
    </w:p>
    <w:p w14:paraId="45E39B97" w14:textId="77777777" w:rsidR="00EB1FEE" w:rsidRDefault="00BA5B5E" w:rsidP="00337165">
      <w:pPr>
        <w:autoSpaceDE w:val="0"/>
        <w:autoSpaceDN w:val="0"/>
        <w:adjustRightInd w:val="0"/>
      </w:pPr>
      <w:r w:rsidRPr="00613544">
        <w:rPr>
          <w:lang w:eastAsia="en-AU"/>
        </w:rPr>
        <w:t>Note that a landlord is not prevented from claiming the reasonable legal or other expenses incurred by the landlord in connection with an assignment of the lease or a sub-lease, including investigating a proposed assignee or sub-tenant and obtaining any necessary consents to the assignment or sub-lease or preparing a new disclosure statement for the proposed assignee at the tenant's request.</w:t>
      </w:r>
    </w:p>
    <w:p w14:paraId="45E39B9B" w14:textId="77777777" w:rsidR="00F15276" w:rsidRDefault="00F15276" w:rsidP="00337165"/>
    <w:p w14:paraId="45E39B9C" w14:textId="77777777" w:rsidR="00EB1FEE" w:rsidRDefault="00BA5B5E" w:rsidP="00337165">
      <w:pPr>
        <w:rPr>
          <w:rFonts w:ascii="Arial Black" w:hAnsi="Arial Black"/>
          <w:b/>
        </w:rPr>
      </w:pPr>
      <w:r>
        <w:rPr>
          <w:rFonts w:ascii="Arial Black" w:hAnsi="Arial Black"/>
          <w:b/>
        </w:rPr>
        <w:t>Lease must specify outgoings</w:t>
      </w:r>
    </w:p>
    <w:p w14:paraId="45E39B9D" w14:textId="77777777" w:rsidR="00EB1FEE" w:rsidRDefault="00EB1FEE" w:rsidP="00337165"/>
    <w:p w14:paraId="45E39B9E" w14:textId="77777777" w:rsidR="00EB1FEE" w:rsidRDefault="00BA5B5E" w:rsidP="00337165">
      <w:pPr>
        <w:spacing w:after="120"/>
      </w:pPr>
      <w:r>
        <w:t>Section 39 of the Act provides that a tenant under a retail premises lease is not liable to pay an amount to the landlord in respect of outgoings except in accordance with provisions of the lease that specify</w:t>
      </w:r>
      <w:r w:rsidR="00671265">
        <w:t xml:space="preserve"> (i.e. itemise) </w:t>
      </w:r>
      <w:r>
        <w:t>-</w:t>
      </w:r>
    </w:p>
    <w:p w14:paraId="45E39B9F" w14:textId="77777777" w:rsidR="00EB1FEE" w:rsidRDefault="00BA5B5E" w:rsidP="00337165">
      <w:pPr>
        <w:numPr>
          <w:ilvl w:val="0"/>
          <w:numId w:val="18"/>
        </w:numPr>
      </w:pPr>
      <w:r>
        <w:lastRenderedPageBreak/>
        <w:t>the outgoings that are to be regarded as recoverable; and</w:t>
      </w:r>
    </w:p>
    <w:p w14:paraId="45E39BA0" w14:textId="77777777" w:rsidR="00EB1FEE" w:rsidRDefault="00BA5B5E" w:rsidP="00337165">
      <w:pPr>
        <w:numPr>
          <w:ilvl w:val="0"/>
          <w:numId w:val="18"/>
        </w:numPr>
      </w:pPr>
      <w:r>
        <w:t>in a manner consistent with the regulations, how the amount of those outgoings will be determined and how they will be apportioned to the tenant; and</w:t>
      </w:r>
    </w:p>
    <w:p w14:paraId="45E39BA1" w14:textId="77777777" w:rsidR="00EB1FEE" w:rsidRDefault="00BA5B5E" w:rsidP="00337165">
      <w:pPr>
        <w:numPr>
          <w:ilvl w:val="0"/>
          <w:numId w:val="18"/>
        </w:numPr>
      </w:pPr>
      <w:r>
        <w:t>how those outgoings or any part of them may be recovered by the landlord from the tenant.</w:t>
      </w:r>
    </w:p>
    <w:p w14:paraId="45E39BA2" w14:textId="77777777" w:rsidR="00EB1FEE" w:rsidRDefault="00EB1FEE" w:rsidP="00337165">
      <w:pPr>
        <w:rPr>
          <w:rFonts w:ascii="Arial Black" w:hAnsi="Arial Black" w:cs="Arial"/>
          <w:b/>
        </w:rPr>
      </w:pPr>
    </w:p>
    <w:p w14:paraId="45E39BA3" w14:textId="77777777" w:rsidR="00EB1FEE" w:rsidRDefault="00BA5B5E" w:rsidP="00337165">
      <w:pPr>
        <w:keepNext/>
        <w:rPr>
          <w:rFonts w:ascii="Arial Black" w:hAnsi="Arial Black" w:cs="Arial"/>
          <w:b/>
        </w:rPr>
      </w:pPr>
      <w:r>
        <w:rPr>
          <w:rFonts w:ascii="Arial Black" w:hAnsi="Arial Black" w:cs="Arial"/>
          <w:b/>
        </w:rPr>
        <w:t>Tenant must be given estimate of outgoings</w:t>
      </w:r>
    </w:p>
    <w:p w14:paraId="45E39BA4" w14:textId="77777777" w:rsidR="00EB1FEE" w:rsidRDefault="00EB1FEE" w:rsidP="00337165">
      <w:pPr>
        <w:keepNext/>
        <w:rPr>
          <w:rFonts w:ascii="Arial Black" w:hAnsi="Arial Black" w:cs="Arial"/>
        </w:rPr>
      </w:pPr>
    </w:p>
    <w:p w14:paraId="45E39BA5" w14:textId="77777777" w:rsidR="00EB1FEE" w:rsidRDefault="00BA5B5E" w:rsidP="00337165">
      <w:pPr>
        <w:keepNext/>
        <w:spacing w:after="120"/>
      </w:pPr>
      <w:r>
        <w:t xml:space="preserve">Section 46 of the Act provides that the landlord must give the tenant an estimate of all outgoings before the lease is entered into, and at least one month before the start of each of the landlord’s accounting periods </w:t>
      </w:r>
      <w:r w:rsidR="00337165">
        <w:t xml:space="preserve">(i.e. each year) </w:t>
      </w:r>
      <w:r>
        <w:t xml:space="preserve">during the term of the lease.  </w:t>
      </w:r>
    </w:p>
    <w:p w14:paraId="45E39BA6" w14:textId="77777777" w:rsidR="00EB1FEE" w:rsidRDefault="001C36AB" w:rsidP="00337165">
      <w:pPr>
        <w:spacing w:after="120"/>
      </w:pPr>
      <w:r>
        <w:t>Prior to</w:t>
      </w:r>
      <w:r w:rsidR="00BA5B5E">
        <w:t xml:space="preserve"> entry into the lease, it is usual for a landlord to give the tenant the estimate of outgoings as part of the disclosure statement that the landlord is obliged to provide to the tenant.  Further information about, and the forms of, the disclosure statement can be obtained from the Victorian Small Business Commission’s </w:t>
      </w:r>
      <w:r w:rsidR="00337165">
        <w:t>(</w:t>
      </w:r>
      <w:r w:rsidR="00337165" w:rsidRPr="00337165">
        <w:rPr>
          <w:b/>
        </w:rPr>
        <w:t>VSBC</w:t>
      </w:r>
      <w:r w:rsidR="00337165">
        <w:t xml:space="preserve">) </w:t>
      </w:r>
      <w:r w:rsidR="00BA5B5E">
        <w:t>website at www.vsbc.vic.gov.au.</w:t>
      </w:r>
    </w:p>
    <w:p w14:paraId="45E39BA7" w14:textId="77777777" w:rsidR="00EB1FEE" w:rsidRDefault="00BA5B5E" w:rsidP="00337165">
      <w:pPr>
        <w:spacing w:after="120"/>
      </w:pPr>
      <w:r>
        <w:t xml:space="preserve">Failure to provide the estimate of specific outgoings means that the tenant is not liable to contribute to any such outgoings (of which an estimate is required to be given under section 46 of the Act) until the tenant is given that estimate.  </w:t>
      </w:r>
    </w:p>
    <w:p w14:paraId="45E39BA8" w14:textId="69437594" w:rsidR="00EB1FEE" w:rsidRDefault="00BA5B5E" w:rsidP="00337165">
      <w:pPr>
        <w:spacing w:after="120"/>
      </w:pPr>
      <w:r>
        <w:t xml:space="preserve">The Act does not specifically state whether a tenant must pay outgoings for the period prior to being given an estimate of outgoings (i.e. whether the landlord can retrospectively charge outgoings).  However, </w:t>
      </w:r>
      <w:r w:rsidR="00FD1AFD">
        <w:t xml:space="preserve">the VCAT case of </w:t>
      </w:r>
      <w:r w:rsidR="00FD1AFD">
        <w:rPr>
          <w:i/>
        </w:rPr>
        <w:t xml:space="preserve">Phillips v Abel </w:t>
      </w:r>
      <w:r w:rsidR="00F4709E">
        <w:t xml:space="preserve">[2019] VCAT 1031 found that </w:t>
      </w:r>
      <w:r w:rsidR="00036F18">
        <w:t>a</w:t>
      </w:r>
      <w:r>
        <w:t xml:space="preserve"> landlord </w:t>
      </w:r>
      <w:r w:rsidR="00F4709E">
        <w:t>cannot retrospectively recover</w:t>
      </w:r>
      <w:r>
        <w:t xml:space="preserve"> reimbursement of outgoings from </w:t>
      </w:r>
      <w:r w:rsidR="00036F18">
        <w:t>a</w:t>
      </w:r>
      <w:r>
        <w:t xml:space="preserve"> tenant </w:t>
      </w:r>
      <w:r w:rsidR="00036F18">
        <w:t xml:space="preserve">that accrued prior to the </w:t>
      </w:r>
      <w:r>
        <w:t>estimate of outgoings being provided to the tenant.</w:t>
      </w:r>
    </w:p>
    <w:p w14:paraId="45E39BAA" w14:textId="77777777" w:rsidR="00EB1FEE" w:rsidRDefault="00BA5B5E" w:rsidP="00337165">
      <w:pPr>
        <w:rPr>
          <w:rFonts w:ascii="Arial Black" w:hAnsi="Arial Black" w:cs="Arial"/>
          <w:b/>
        </w:rPr>
      </w:pPr>
      <w:r>
        <w:rPr>
          <w:rFonts w:ascii="Arial Black" w:hAnsi="Arial Black" w:cs="Arial"/>
          <w:b/>
        </w:rPr>
        <w:t>What if the estimate of outgoings is inaccurate or too low?</w:t>
      </w:r>
    </w:p>
    <w:p w14:paraId="45E39BAB" w14:textId="77777777" w:rsidR="00EB1FEE" w:rsidRDefault="00EB1FEE" w:rsidP="00337165">
      <w:pPr>
        <w:pStyle w:val="HTMLPreformatted"/>
        <w:tabs>
          <w:tab w:val="clear" w:pos="916"/>
        </w:tabs>
        <w:rPr>
          <w:rFonts w:ascii="Times New Roman" w:hAnsi="Times New Roman" w:cs="Times New Roman"/>
          <w:color w:val="000000"/>
          <w:sz w:val="24"/>
          <w:szCs w:val="24"/>
        </w:rPr>
      </w:pPr>
    </w:p>
    <w:p w14:paraId="45E39BAC" w14:textId="77777777" w:rsidR="00EB1FEE" w:rsidRDefault="00BA5B5E" w:rsidP="00337165">
      <w:pPr>
        <w:pStyle w:val="HTMLPreformatted"/>
        <w:tabs>
          <w:tab w:val="clear" w:pos="916"/>
        </w:tabs>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Generally a tenant cannot avoid paying outgoings because the estimate given under s.46 proves to be incorrect. </w:t>
      </w:r>
    </w:p>
    <w:p w14:paraId="45E39BAD" w14:textId="77777777" w:rsidR="00EB1FEE" w:rsidRDefault="00BA5B5E" w:rsidP="00337165">
      <w:pPr>
        <w:spacing w:after="120"/>
        <w:rPr>
          <w:color w:val="000000"/>
        </w:rPr>
      </w:pPr>
      <w:r>
        <w:rPr>
          <w:color w:val="000000"/>
        </w:rPr>
        <w:t>However, it is possible if an estimate of outgoings is so inaccurate, it may not constitute an ‘estimate’ in compliance with the Act.  Also, a landlord should take care to ensure that an inaccurate estimate does not mislead or deceive the tenant.</w:t>
      </w:r>
    </w:p>
    <w:p w14:paraId="45E39BAE" w14:textId="77777777" w:rsidR="00EB1FEE" w:rsidRDefault="00BA5B5E" w:rsidP="00337165">
      <w:pPr>
        <w:spacing w:after="120"/>
        <w:rPr>
          <w:color w:val="000000"/>
        </w:rPr>
      </w:pPr>
      <w:r>
        <w:rPr>
          <w:color w:val="000000"/>
        </w:rPr>
        <w:t xml:space="preserve">It is the practice of many landlords to issue an estimate revision during the </w:t>
      </w:r>
      <w:r w:rsidR="00337165">
        <w:rPr>
          <w:color w:val="000000"/>
        </w:rPr>
        <w:t>l</w:t>
      </w:r>
      <w:r>
        <w:rPr>
          <w:color w:val="000000"/>
        </w:rPr>
        <w:t xml:space="preserve">andlord's accounting period.  </w:t>
      </w:r>
    </w:p>
    <w:p w14:paraId="45E39BAF" w14:textId="77777777" w:rsidR="00EB1FEE" w:rsidRDefault="00BA5B5E" w:rsidP="00337165">
      <w:pPr>
        <w:keepNext/>
        <w:rPr>
          <w:rFonts w:ascii="Arial Black" w:hAnsi="Arial Black" w:cs="Arial"/>
          <w:b/>
        </w:rPr>
      </w:pPr>
      <w:r>
        <w:rPr>
          <w:rFonts w:ascii="Arial Black" w:hAnsi="Arial Black" w:cs="Arial"/>
          <w:b/>
        </w:rPr>
        <w:t>Tenant must be given statement of outgoings together with an auditor's report or proof of payment</w:t>
      </w:r>
    </w:p>
    <w:p w14:paraId="45E39BB0" w14:textId="77777777" w:rsidR="00EB1FEE" w:rsidRDefault="00EB1FEE" w:rsidP="00337165">
      <w:pPr>
        <w:keepNext/>
        <w:rPr>
          <w:rFonts w:ascii="Arial Black" w:hAnsi="Arial Black" w:cs="Arial"/>
        </w:rPr>
      </w:pPr>
    </w:p>
    <w:p w14:paraId="45E39BB1" w14:textId="77777777" w:rsidR="00EB1FEE" w:rsidRDefault="00BA5B5E" w:rsidP="00337165">
      <w:pPr>
        <w:pStyle w:val="HTMLPreformatted"/>
        <w:keepNext/>
        <w:tabs>
          <w:tab w:val="clear" w:pos="916"/>
        </w:tabs>
        <w:spacing w:after="120"/>
        <w:rPr>
          <w:rFonts w:ascii="Times New Roman" w:hAnsi="Times New Roman" w:cs="Times New Roman"/>
          <w:sz w:val="24"/>
          <w:szCs w:val="24"/>
        </w:rPr>
      </w:pPr>
      <w:r>
        <w:rPr>
          <w:rFonts w:ascii="Times New Roman" w:hAnsi="Times New Roman" w:cs="Times New Roman"/>
          <w:color w:val="000000"/>
          <w:sz w:val="24"/>
          <w:szCs w:val="24"/>
        </w:rPr>
        <w:t>Section 47 of the Act requires t</w:t>
      </w:r>
      <w:r>
        <w:rPr>
          <w:rFonts w:ascii="Times New Roman" w:hAnsi="Times New Roman" w:cs="Times New Roman"/>
          <w:sz w:val="24"/>
          <w:szCs w:val="24"/>
        </w:rPr>
        <w:t>he landlord to prepare a written statement that details all expenditure by the landlord, in each of the landlord's accounting periods during the term of the lease, on account of outgoings to which the tenant is liable to contribute.</w:t>
      </w:r>
    </w:p>
    <w:p w14:paraId="45E39BB2" w14:textId="77777777" w:rsidR="00EB1FEE" w:rsidRDefault="00BA5B5E" w:rsidP="00337165">
      <w:pPr>
        <w:autoSpaceDE w:val="0"/>
        <w:autoSpaceDN w:val="0"/>
        <w:adjustRightInd w:val="0"/>
        <w:spacing w:after="120"/>
        <w:rPr>
          <w:lang w:eastAsia="en-AU"/>
        </w:rPr>
      </w:pPr>
      <w:r>
        <w:rPr>
          <w:lang w:eastAsia="en-AU"/>
        </w:rPr>
        <w:t>The landlord must:</w:t>
      </w:r>
    </w:p>
    <w:p w14:paraId="45E39BB3" w14:textId="77777777" w:rsidR="00EB1FEE" w:rsidRPr="00613544" w:rsidRDefault="00BA5B5E" w:rsidP="00337165">
      <w:pPr>
        <w:numPr>
          <w:ilvl w:val="0"/>
          <w:numId w:val="42"/>
        </w:numPr>
        <w:autoSpaceDE w:val="0"/>
        <w:autoSpaceDN w:val="0"/>
        <w:adjustRightInd w:val="0"/>
        <w:ind w:left="709" w:hanging="425"/>
        <w:rPr>
          <w:lang w:eastAsia="en-AU"/>
        </w:rPr>
      </w:pPr>
      <w:r w:rsidRPr="00613544">
        <w:rPr>
          <w:lang w:eastAsia="en-AU"/>
        </w:rPr>
        <w:lastRenderedPageBreak/>
        <w:t>make the statement available to the tenant at least once during each of the landlord's accounting periods</w:t>
      </w:r>
      <w:r w:rsidR="00337165">
        <w:rPr>
          <w:lang w:eastAsia="en-AU"/>
        </w:rPr>
        <w:t xml:space="preserve"> during the term of the lease; </w:t>
      </w:r>
      <w:r w:rsidRPr="00613544">
        <w:rPr>
          <w:lang w:eastAsia="en-AU"/>
        </w:rPr>
        <w:t>and</w:t>
      </w:r>
    </w:p>
    <w:p w14:paraId="45E39BB4" w14:textId="77777777" w:rsidR="00EB1FEE" w:rsidRPr="00613544" w:rsidRDefault="00BA5B5E" w:rsidP="00337165">
      <w:pPr>
        <w:numPr>
          <w:ilvl w:val="0"/>
          <w:numId w:val="42"/>
        </w:numPr>
        <w:autoSpaceDE w:val="0"/>
        <w:autoSpaceDN w:val="0"/>
        <w:adjustRightInd w:val="0"/>
        <w:spacing w:after="120"/>
        <w:ind w:left="709" w:hanging="425"/>
        <w:rPr>
          <w:lang w:eastAsia="en-AU"/>
        </w:rPr>
      </w:pPr>
      <w:r w:rsidRPr="00613544">
        <w:rPr>
          <w:lang w:eastAsia="en-AU"/>
        </w:rPr>
        <w:t>give the tenant the statement within 3 months after the end of the accounting period to which it relates.</w:t>
      </w:r>
    </w:p>
    <w:p w14:paraId="45E39BB5" w14:textId="77777777" w:rsidR="00EB1FEE" w:rsidRDefault="00BA5B5E" w:rsidP="00337165">
      <w:pPr>
        <w:autoSpaceDE w:val="0"/>
        <w:autoSpaceDN w:val="0"/>
        <w:adjustRightInd w:val="0"/>
        <w:spacing w:after="120"/>
        <w:rPr>
          <w:rFonts w:ascii="TimesNewRomanPSMT" w:hAnsi="TimesNewRomanPSMT" w:cs="TimesNewRomanPSMT"/>
          <w:lang w:eastAsia="en-AU"/>
        </w:rPr>
      </w:pPr>
      <w:r>
        <w:rPr>
          <w:rFonts w:ascii="TimesNewRomanPSMT" w:hAnsi="TimesNewRomanPSMT" w:cs="TimesNewRomanPSMT"/>
          <w:lang w:eastAsia="en-AU"/>
        </w:rPr>
        <w:t>The outgoings statement must be prepared in accordance with relevant principles and disclosure requirements of applicable accounting standards made by the Australian Accounting Standards Board.</w:t>
      </w:r>
    </w:p>
    <w:p w14:paraId="45E39BB6" w14:textId="77777777" w:rsidR="00EB1FEE" w:rsidRDefault="00BA5B5E" w:rsidP="00337165">
      <w:pPr>
        <w:autoSpaceDE w:val="0"/>
        <w:autoSpaceDN w:val="0"/>
        <w:adjustRightInd w:val="0"/>
        <w:spacing w:after="120"/>
        <w:rPr>
          <w:rFonts w:ascii="TimesNewRomanPSMT" w:hAnsi="TimesNewRomanPSMT" w:cs="TimesNewRomanPSMT"/>
          <w:lang w:eastAsia="en-AU"/>
        </w:rPr>
      </w:pPr>
      <w:r>
        <w:rPr>
          <w:rFonts w:ascii="TimesNewRomanPSMT" w:hAnsi="TimesNewRomanPSMT" w:cs="TimesNewRomanPSMT"/>
          <w:lang w:eastAsia="en-AU"/>
        </w:rPr>
        <w:t>The statement given to the tenant must be accompanied by a report prepared by a registered company auditor that states whether:</w:t>
      </w:r>
    </w:p>
    <w:p w14:paraId="45E39BB7" w14:textId="77777777" w:rsidR="00EB1FEE" w:rsidRDefault="00BA5B5E" w:rsidP="00337165">
      <w:pPr>
        <w:autoSpaceDE w:val="0"/>
        <w:autoSpaceDN w:val="0"/>
        <w:adjustRightInd w:val="0"/>
        <w:spacing w:after="120"/>
        <w:ind w:left="709" w:hanging="425"/>
        <w:rPr>
          <w:rFonts w:ascii="TimesNewRomanPSMT" w:hAnsi="TimesNewRomanPSMT" w:cs="TimesNewRomanPSMT"/>
          <w:lang w:eastAsia="en-AU"/>
        </w:rPr>
      </w:pPr>
      <w:r>
        <w:rPr>
          <w:rFonts w:ascii="TimesNewRomanPSMT" w:hAnsi="TimesNewRomanPSMT" w:cs="TimesNewRomanPSMT"/>
          <w:lang w:eastAsia="en-AU"/>
        </w:rPr>
        <w:t xml:space="preserve">(i) </w:t>
      </w:r>
      <w:r>
        <w:rPr>
          <w:rFonts w:ascii="TimesNewRomanPSMT" w:hAnsi="TimesNewRomanPSMT" w:cs="TimesNewRomanPSMT"/>
          <w:lang w:eastAsia="en-AU"/>
        </w:rPr>
        <w:tab/>
        <w:t>the statement correctly states the landlord's expenditure during the accounting period in respect of the total amount of outgoings, and each individual outgoing that comprises more than 10% of the total amount of outgoings, to which the tenant is liable to contribute; and</w:t>
      </w:r>
    </w:p>
    <w:p w14:paraId="45E39BB8" w14:textId="77777777" w:rsidR="00EB1FEE" w:rsidRDefault="00BA5B5E" w:rsidP="00337165">
      <w:pPr>
        <w:autoSpaceDE w:val="0"/>
        <w:autoSpaceDN w:val="0"/>
        <w:adjustRightInd w:val="0"/>
        <w:ind w:left="709" w:hanging="425"/>
        <w:rPr>
          <w:rFonts w:ascii="TimesNewRomanPSMT" w:hAnsi="TimesNewRomanPSMT" w:cs="TimesNewRomanPSMT"/>
          <w:lang w:eastAsia="en-AU"/>
        </w:rPr>
      </w:pPr>
      <w:r>
        <w:rPr>
          <w:rFonts w:ascii="TimesNewRomanPSMT" w:hAnsi="TimesNewRomanPSMT" w:cs="TimesNewRomanPSMT"/>
          <w:lang w:eastAsia="en-AU"/>
        </w:rPr>
        <w:t xml:space="preserve">(ii) </w:t>
      </w:r>
      <w:r>
        <w:rPr>
          <w:rFonts w:ascii="TimesNewRomanPSMT" w:hAnsi="TimesNewRomanPSMT" w:cs="TimesNewRomanPSMT"/>
          <w:lang w:eastAsia="en-AU"/>
        </w:rPr>
        <w:tab/>
        <w:t>the total amount of estimated outgoings for that period (as shown in the estimate of outgoings given to the tenant) exceeded the total actual expenditure by the landlord in respect of those outgoings during that period.</w:t>
      </w:r>
    </w:p>
    <w:p w14:paraId="45E39BB9" w14:textId="77777777" w:rsidR="00EB1FEE" w:rsidRDefault="00EB1FEE" w:rsidP="00337165">
      <w:pPr>
        <w:autoSpaceDE w:val="0"/>
        <w:autoSpaceDN w:val="0"/>
        <w:adjustRightInd w:val="0"/>
        <w:rPr>
          <w:rFonts w:ascii="TimesNewRomanPSMT" w:hAnsi="TimesNewRomanPSMT" w:cs="TimesNewRomanPSMT"/>
          <w:lang w:eastAsia="en-AU"/>
        </w:rPr>
      </w:pPr>
    </w:p>
    <w:p w14:paraId="45E39BBA" w14:textId="77777777" w:rsidR="00EB1FEE" w:rsidRDefault="00BA5B5E" w:rsidP="00337165">
      <w:pPr>
        <w:autoSpaceDE w:val="0"/>
        <w:autoSpaceDN w:val="0"/>
        <w:adjustRightInd w:val="0"/>
        <w:spacing w:after="120"/>
        <w:rPr>
          <w:rFonts w:ascii="TimesNewRomanPSMT" w:hAnsi="TimesNewRomanPSMT" w:cs="TimesNewRomanPSMT"/>
          <w:lang w:eastAsia="en-AU"/>
        </w:rPr>
      </w:pPr>
      <w:r>
        <w:rPr>
          <w:rFonts w:ascii="TimesNewRomanPSMT" w:hAnsi="TimesNewRomanPSMT" w:cs="TimesNewRomanPSMT"/>
          <w:lang w:eastAsia="en-AU"/>
        </w:rPr>
        <w:t>However, an auditor's report does not need to be given if the landlord gives the tenant copies of assessments, invoices, receipts or other proof of payment for all expenditure by the landlord included in the statement, where the statement relates only to the following outgoings:</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4253"/>
      </w:tblGrid>
      <w:tr w:rsidR="00EB1FEE" w14:paraId="45E39BC1" w14:textId="77777777">
        <w:trPr>
          <w:trHeight w:val="1305"/>
        </w:trPr>
        <w:tc>
          <w:tcPr>
            <w:tcW w:w="3681" w:type="dxa"/>
            <w:tcBorders>
              <w:top w:val="nil"/>
              <w:left w:val="nil"/>
              <w:bottom w:val="nil"/>
              <w:right w:val="nil"/>
            </w:tcBorders>
          </w:tcPr>
          <w:p w14:paraId="45E39BBB" w14:textId="77777777" w:rsidR="00EB1FEE" w:rsidRDefault="00BA5B5E" w:rsidP="00337165">
            <w:pPr>
              <w:numPr>
                <w:ilvl w:val="0"/>
                <w:numId w:val="43"/>
              </w:numPr>
              <w:autoSpaceDE w:val="0"/>
              <w:autoSpaceDN w:val="0"/>
              <w:adjustRightInd w:val="0"/>
              <w:ind w:left="432" w:hanging="402"/>
              <w:rPr>
                <w:rFonts w:ascii="TimesNewRomanPSMT" w:hAnsi="TimesNewRomanPSMT" w:cs="TimesNewRomanPSMT"/>
                <w:lang w:eastAsia="en-AU"/>
              </w:rPr>
            </w:pPr>
            <w:r>
              <w:rPr>
                <w:rFonts w:ascii="TimesNewRomanPSMT" w:hAnsi="TimesNewRomanPSMT" w:cs="TimesNewRomanPSMT"/>
                <w:lang w:eastAsia="en-AU"/>
              </w:rPr>
              <w:t>GST</w:t>
            </w:r>
          </w:p>
          <w:p w14:paraId="45E39BBC" w14:textId="77777777" w:rsidR="00EB1FEE" w:rsidRDefault="00BA5B5E" w:rsidP="00337165">
            <w:pPr>
              <w:numPr>
                <w:ilvl w:val="0"/>
                <w:numId w:val="43"/>
              </w:numPr>
              <w:autoSpaceDE w:val="0"/>
              <w:autoSpaceDN w:val="0"/>
              <w:adjustRightInd w:val="0"/>
              <w:ind w:left="432" w:hanging="402"/>
              <w:rPr>
                <w:rFonts w:ascii="TimesNewRomanPSMT" w:hAnsi="TimesNewRomanPSMT" w:cs="TimesNewRomanPSMT"/>
                <w:lang w:eastAsia="en-AU"/>
              </w:rPr>
            </w:pPr>
            <w:r>
              <w:rPr>
                <w:rFonts w:ascii="TimesNewRomanPSMT" w:hAnsi="TimesNewRomanPSMT" w:cs="TimesNewRomanPSMT"/>
                <w:lang w:eastAsia="en-AU"/>
              </w:rPr>
              <w:t>municipal council rates and charges</w:t>
            </w:r>
          </w:p>
          <w:p w14:paraId="45E39BBD" w14:textId="77777777" w:rsidR="00EB1FEE" w:rsidRPr="005C466C" w:rsidRDefault="00BA5B5E" w:rsidP="00337165">
            <w:pPr>
              <w:numPr>
                <w:ilvl w:val="0"/>
                <w:numId w:val="43"/>
              </w:numPr>
              <w:autoSpaceDE w:val="0"/>
              <w:autoSpaceDN w:val="0"/>
              <w:adjustRightInd w:val="0"/>
              <w:ind w:left="432" w:hanging="402"/>
              <w:rPr>
                <w:rFonts w:ascii="TimesNewRomanPSMT" w:hAnsi="TimesNewRomanPSMT" w:cs="TimesNewRomanPSMT"/>
                <w:lang w:eastAsia="en-AU"/>
              </w:rPr>
            </w:pPr>
            <w:r>
              <w:rPr>
                <w:rFonts w:ascii="TimesNewRomanPSMT" w:hAnsi="TimesNewRomanPSMT" w:cs="TimesNewRomanPSMT"/>
                <w:lang w:eastAsia="en-AU"/>
              </w:rPr>
              <w:t>fire services property levy</w:t>
            </w:r>
          </w:p>
        </w:tc>
        <w:tc>
          <w:tcPr>
            <w:tcW w:w="4253" w:type="dxa"/>
            <w:tcBorders>
              <w:top w:val="nil"/>
              <w:left w:val="nil"/>
              <w:bottom w:val="nil"/>
              <w:right w:val="nil"/>
            </w:tcBorders>
          </w:tcPr>
          <w:p w14:paraId="45E39BBE" w14:textId="77777777" w:rsidR="00EB1FEE" w:rsidRDefault="00BA5B5E" w:rsidP="00337165">
            <w:pPr>
              <w:numPr>
                <w:ilvl w:val="0"/>
                <w:numId w:val="43"/>
              </w:numPr>
              <w:autoSpaceDE w:val="0"/>
              <w:autoSpaceDN w:val="0"/>
              <w:adjustRightInd w:val="0"/>
              <w:ind w:left="601" w:hanging="425"/>
              <w:rPr>
                <w:rFonts w:ascii="TimesNewRomanPSMT" w:hAnsi="TimesNewRomanPSMT" w:cs="TimesNewRomanPSMT"/>
                <w:lang w:eastAsia="en-AU"/>
              </w:rPr>
            </w:pPr>
            <w:r>
              <w:rPr>
                <w:rFonts w:ascii="TimesNewRomanPSMT" w:hAnsi="TimesNewRomanPSMT" w:cs="TimesNewRomanPSMT"/>
                <w:lang w:eastAsia="en-AU"/>
              </w:rPr>
              <w:t>water, sewerage and drainage rates and charges</w:t>
            </w:r>
          </w:p>
          <w:p w14:paraId="45E39BBF" w14:textId="77777777" w:rsidR="00EB1FEE" w:rsidRDefault="00BA5B5E" w:rsidP="00337165">
            <w:pPr>
              <w:numPr>
                <w:ilvl w:val="0"/>
                <w:numId w:val="43"/>
              </w:numPr>
              <w:autoSpaceDE w:val="0"/>
              <w:autoSpaceDN w:val="0"/>
              <w:adjustRightInd w:val="0"/>
              <w:ind w:left="601" w:hanging="425"/>
              <w:rPr>
                <w:rFonts w:ascii="TimesNewRomanPSMT" w:hAnsi="TimesNewRomanPSMT" w:cs="TimesNewRomanPSMT"/>
                <w:lang w:eastAsia="en-AU"/>
              </w:rPr>
            </w:pPr>
            <w:r>
              <w:rPr>
                <w:rFonts w:ascii="TimesNewRomanPSMT" w:hAnsi="TimesNewRomanPSMT" w:cs="TimesNewRomanPSMT"/>
                <w:lang w:eastAsia="en-AU"/>
              </w:rPr>
              <w:t>insurance</w:t>
            </w:r>
          </w:p>
          <w:p w14:paraId="45E39BC0" w14:textId="77777777" w:rsidR="00EB1FEE" w:rsidRDefault="00BA5B5E" w:rsidP="00337165">
            <w:pPr>
              <w:numPr>
                <w:ilvl w:val="0"/>
                <w:numId w:val="43"/>
              </w:numPr>
              <w:autoSpaceDE w:val="0"/>
              <w:autoSpaceDN w:val="0"/>
              <w:adjustRightInd w:val="0"/>
              <w:ind w:left="601" w:hanging="425"/>
              <w:rPr>
                <w:rFonts w:ascii="TimesNewRomanPSMT" w:hAnsi="TimesNewRomanPSMT" w:cs="TimesNewRomanPSMT"/>
                <w:lang w:eastAsia="en-AU"/>
              </w:rPr>
            </w:pPr>
            <w:r>
              <w:rPr>
                <w:rFonts w:ascii="TimesNewRomanPSMT" w:hAnsi="TimesNewRomanPSMT" w:cs="TimesNewRomanPSMT"/>
                <w:lang w:eastAsia="en-AU"/>
              </w:rPr>
              <w:t>owners corporation fees</w:t>
            </w:r>
          </w:p>
        </w:tc>
      </w:tr>
    </w:tbl>
    <w:p w14:paraId="45E39BC2" w14:textId="77777777" w:rsidR="00EB1FEE" w:rsidRDefault="00BA5B5E" w:rsidP="00337165">
      <w:pPr>
        <w:autoSpaceDE w:val="0"/>
        <w:autoSpaceDN w:val="0"/>
        <w:adjustRightInd w:val="0"/>
        <w:spacing w:after="120"/>
        <w:rPr>
          <w:rFonts w:ascii="TimesNewRomanPSMT" w:hAnsi="TimesNewRomanPSMT" w:cs="TimesNewRomanPSMT"/>
          <w:lang w:eastAsia="en-AU"/>
        </w:rPr>
      </w:pPr>
      <w:r>
        <w:rPr>
          <w:rFonts w:ascii="TimesNewRomanPSMT" w:hAnsi="TimesNewRomanPSMT" w:cs="TimesNewRomanPSMT"/>
          <w:lang w:eastAsia="en-AU"/>
        </w:rPr>
        <w:t>An auditor preparing a report must ensure that the tenant is given a reasonable opportunity to make a written submission to the auditor on the accuracy of the outgoings statement.</w:t>
      </w:r>
    </w:p>
    <w:p w14:paraId="45E39BC3" w14:textId="77777777" w:rsidR="00EB1FEE" w:rsidRDefault="00BA5B5E" w:rsidP="00337165">
      <w:pPr>
        <w:rPr>
          <w:rFonts w:ascii="Arial Black" w:hAnsi="Arial Black" w:cs="Arial"/>
          <w:b/>
        </w:rPr>
      </w:pPr>
      <w:r>
        <w:rPr>
          <w:rFonts w:ascii="Arial Black" w:hAnsi="Arial Black" w:cs="Arial"/>
          <w:b/>
        </w:rPr>
        <w:t>Adjustment of contributions to outgoings</w:t>
      </w:r>
    </w:p>
    <w:p w14:paraId="45E39BC4" w14:textId="77777777" w:rsidR="00EB1FEE" w:rsidRDefault="00EB1FEE" w:rsidP="00337165">
      <w:pPr>
        <w:autoSpaceDE w:val="0"/>
        <w:autoSpaceDN w:val="0"/>
        <w:adjustRightInd w:val="0"/>
        <w:rPr>
          <w:rFonts w:ascii="TimesNewRomanPSMT" w:hAnsi="TimesNewRomanPSMT" w:cs="TimesNewRomanPSMT"/>
          <w:lang w:eastAsia="en-AU"/>
        </w:rPr>
      </w:pPr>
    </w:p>
    <w:p w14:paraId="45E39BC5" w14:textId="77777777" w:rsidR="00EB1FEE" w:rsidRDefault="00BA5B5E" w:rsidP="00337165">
      <w:pPr>
        <w:autoSpaceDE w:val="0"/>
        <w:autoSpaceDN w:val="0"/>
        <w:adjustRightInd w:val="0"/>
        <w:rPr>
          <w:rFonts w:ascii="TimesNewRomanPSMT" w:hAnsi="TimesNewRomanPSMT" w:cs="TimesNewRomanPSMT"/>
          <w:lang w:eastAsia="en-AU"/>
        </w:rPr>
      </w:pPr>
      <w:r>
        <w:rPr>
          <w:rFonts w:ascii="TimesNewRomanPSMT" w:hAnsi="TimesNewRomanPSMT" w:cs="TimesNewRomanPSMT"/>
          <w:lang w:eastAsia="en-AU"/>
        </w:rPr>
        <w:t>Section 48 of the Act provides that there is to be an adjustment between the landlord and tenant for each of the landlord's accounting periods during the term of the lease to take account of any underpayment or overpayment by the tenant in respect of outgoings during that period.</w:t>
      </w:r>
    </w:p>
    <w:p w14:paraId="45E39BC6" w14:textId="77777777" w:rsidR="00EB1FEE" w:rsidRDefault="00EB1FEE" w:rsidP="00337165">
      <w:pPr>
        <w:autoSpaceDE w:val="0"/>
        <w:autoSpaceDN w:val="0"/>
        <w:adjustRightInd w:val="0"/>
        <w:rPr>
          <w:rFonts w:ascii="TimesNewRomanPSMT" w:hAnsi="TimesNewRomanPSMT" w:cs="TimesNewRomanPSMT"/>
          <w:lang w:eastAsia="en-AU"/>
        </w:rPr>
      </w:pPr>
    </w:p>
    <w:p w14:paraId="45E39BC7" w14:textId="77777777" w:rsidR="00EB1FEE" w:rsidRDefault="00BA5B5E" w:rsidP="00337165">
      <w:pPr>
        <w:autoSpaceDE w:val="0"/>
        <w:autoSpaceDN w:val="0"/>
        <w:adjustRightInd w:val="0"/>
        <w:spacing w:after="120"/>
        <w:rPr>
          <w:rFonts w:ascii="TimesNewRomanPSMT" w:hAnsi="TimesNewRomanPSMT" w:cs="TimesNewRomanPSMT"/>
          <w:lang w:eastAsia="en-AU"/>
        </w:rPr>
      </w:pPr>
      <w:r>
        <w:rPr>
          <w:rFonts w:ascii="TimesNewRomanPSMT" w:hAnsi="TimesNewRomanPSMT" w:cs="TimesNewRomanPSMT"/>
          <w:lang w:eastAsia="en-AU"/>
        </w:rPr>
        <w:t>The adjustment is to take place within one month after the landlord gives the tenant the outgoings statement under section 47 for the period or within 4 months after the end of the period, whichever is earlier.</w:t>
      </w:r>
    </w:p>
    <w:p w14:paraId="45E39BC8" w14:textId="77777777" w:rsidR="00EB1FEE" w:rsidRDefault="00BA5B5E" w:rsidP="00337165">
      <w:pPr>
        <w:autoSpaceDE w:val="0"/>
        <w:autoSpaceDN w:val="0"/>
        <w:adjustRightInd w:val="0"/>
        <w:spacing w:after="120"/>
        <w:rPr>
          <w:rFonts w:ascii="TimesNewRomanPSMT" w:hAnsi="TimesNewRomanPSMT" w:cs="TimesNewRomanPSMT"/>
          <w:lang w:eastAsia="en-AU"/>
        </w:rPr>
      </w:pPr>
      <w:r>
        <w:rPr>
          <w:rFonts w:ascii="TimesNewRomanPSMT" w:hAnsi="TimesNewRomanPSMT" w:cs="TimesNewRomanPSMT"/>
          <w:lang w:eastAsia="en-AU"/>
        </w:rPr>
        <w:t>The adjustment is to be calculated on the basis of the difference between—</w:t>
      </w:r>
    </w:p>
    <w:p w14:paraId="45E39BC9" w14:textId="77777777" w:rsidR="00EB1FEE" w:rsidRDefault="00BA5B5E" w:rsidP="00337165">
      <w:pPr>
        <w:autoSpaceDE w:val="0"/>
        <w:autoSpaceDN w:val="0"/>
        <w:adjustRightInd w:val="0"/>
        <w:spacing w:after="120"/>
        <w:ind w:left="709" w:hanging="425"/>
        <w:rPr>
          <w:rFonts w:ascii="TimesNewRomanPSMT" w:hAnsi="TimesNewRomanPSMT" w:cs="TimesNewRomanPSMT"/>
          <w:lang w:eastAsia="en-AU"/>
        </w:rPr>
      </w:pPr>
      <w:r>
        <w:rPr>
          <w:rFonts w:ascii="TimesNewRomanPSMT" w:hAnsi="TimesNewRomanPSMT" w:cs="TimesNewRomanPSMT"/>
          <w:lang w:eastAsia="en-AU"/>
        </w:rPr>
        <w:t xml:space="preserve">(a) </w:t>
      </w:r>
      <w:r>
        <w:rPr>
          <w:rFonts w:ascii="TimesNewRomanPSMT" w:hAnsi="TimesNewRomanPSMT" w:cs="TimesNewRomanPSMT"/>
          <w:lang w:eastAsia="en-AU"/>
        </w:rPr>
        <w:tab/>
        <w:t>the total amount of outgoings in respect of which the tenant contributed (that is, the estimated total expenditure by the landlord on outgoings during the period); and</w:t>
      </w:r>
    </w:p>
    <w:p w14:paraId="45E39BCA" w14:textId="77777777" w:rsidR="00EB1FEE" w:rsidRDefault="00BA5B5E" w:rsidP="00337165">
      <w:pPr>
        <w:autoSpaceDE w:val="0"/>
        <w:autoSpaceDN w:val="0"/>
        <w:adjustRightInd w:val="0"/>
        <w:ind w:left="709" w:hanging="425"/>
        <w:rPr>
          <w:rFonts w:ascii="TimesNewRomanPSMT" w:hAnsi="TimesNewRomanPSMT" w:cs="TimesNewRomanPSMT"/>
          <w:lang w:eastAsia="en-AU"/>
        </w:rPr>
      </w:pPr>
      <w:r>
        <w:rPr>
          <w:rFonts w:ascii="TimesNewRomanPSMT" w:hAnsi="TimesNewRomanPSMT" w:cs="TimesNewRomanPSMT"/>
          <w:lang w:eastAsia="en-AU"/>
        </w:rPr>
        <w:lastRenderedPageBreak/>
        <w:t xml:space="preserve">(b) </w:t>
      </w:r>
      <w:r>
        <w:rPr>
          <w:rFonts w:ascii="TimesNewRomanPSMT" w:hAnsi="TimesNewRomanPSMT" w:cs="TimesNewRomanPSMT"/>
          <w:lang w:eastAsia="en-AU"/>
        </w:rPr>
        <w:tab/>
        <w:t>the total actual expenditure by the landlord in respect of those outgoings during the period, but taking into account only expenditure properly and reasonably incurred by the landlord in the payment of those outgoings.</w:t>
      </w:r>
    </w:p>
    <w:p w14:paraId="45E39BDC" w14:textId="77777777" w:rsidR="00EB1FEE" w:rsidRDefault="00BA5B5E" w:rsidP="00337165">
      <w:pPr>
        <w:pStyle w:val="Heading1"/>
        <w:spacing w:before="240"/>
        <w:rPr>
          <w:rFonts w:ascii="Arial Black" w:hAnsi="Arial Black"/>
          <w:b w:val="0"/>
        </w:rPr>
      </w:pPr>
      <w:r>
        <w:rPr>
          <w:rFonts w:ascii="Arial Black" w:hAnsi="Arial Black"/>
          <w:b w:val="0"/>
        </w:rPr>
        <w:t>Resolving disputes concerning outgoings</w:t>
      </w:r>
    </w:p>
    <w:p w14:paraId="45E39BDD" w14:textId="77777777" w:rsidR="00EB1FEE" w:rsidRDefault="00EB1FEE" w:rsidP="00337165"/>
    <w:p w14:paraId="45E39BDE" w14:textId="77777777" w:rsidR="00EB1FEE" w:rsidRDefault="00BA5B5E" w:rsidP="00337165">
      <w:r>
        <w:t xml:space="preserve">The </w:t>
      </w:r>
      <w:r w:rsidR="00337165">
        <w:t xml:space="preserve">VSBC </w:t>
      </w:r>
      <w:r>
        <w:t>offers a dispute resolution service to assist parties to resolve business disputes.  A dispute can be referred to the VSBC by submitting an application which summarises the issues and specifies the parties involved.</w:t>
      </w:r>
    </w:p>
    <w:p w14:paraId="45E39BDF" w14:textId="77777777" w:rsidR="00EB1FEE" w:rsidRDefault="00EB1FEE" w:rsidP="00337165"/>
    <w:p w14:paraId="45E39BE0" w14:textId="3BA6E251" w:rsidR="00EB1FEE" w:rsidRDefault="00BA5B5E" w:rsidP="00337165">
      <w:pPr>
        <w:autoSpaceDE w:val="0"/>
        <w:autoSpaceDN w:val="0"/>
        <w:adjustRightInd w:val="0"/>
      </w:pPr>
      <w:r>
        <w:t>The</w:t>
      </w:r>
      <w:r w:rsidR="00F7713E">
        <w:t xml:space="preserve"> VSBC</w:t>
      </w:r>
      <w:r>
        <w:t xml:space="preserve"> appoints an officer to consider the application, contact the parties and, through providing preliminary assistance, seeks to resolve the dispute.  There is no cost to the parties for this service.  If the dispute cannot be resolved at this stage, the parties are invited to attend mediation.  </w:t>
      </w:r>
    </w:p>
    <w:p w14:paraId="45E39BE1" w14:textId="77777777" w:rsidR="00EB1FEE" w:rsidRDefault="00EB1FEE" w:rsidP="00337165">
      <w:pPr>
        <w:autoSpaceDE w:val="0"/>
        <w:autoSpaceDN w:val="0"/>
        <w:adjustRightInd w:val="0"/>
      </w:pPr>
    </w:p>
    <w:p w14:paraId="45987ED0" w14:textId="28642C51" w:rsidR="00525D14" w:rsidRDefault="00BA5B5E" w:rsidP="00525D14">
      <w:pPr>
        <w:rPr>
          <w:sz w:val="21"/>
          <w:szCs w:val="21"/>
          <w:lang w:eastAsia="en-GB"/>
        </w:rPr>
      </w:pPr>
      <w:r>
        <w:t xml:space="preserve">Mediation involves a meeting between the parties in dispute and an independent mediator who will attempt to assist the parties to reach an agreement about the dispute.  When all parties agree to mediation, the </w:t>
      </w:r>
      <w:r w:rsidR="005C4324">
        <w:t>VSBC</w:t>
      </w:r>
      <w:r>
        <w:t xml:space="preserve"> appoints a mediator and arranges the date, time and venue.  </w:t>
      </w:r>
      <w:r w:rsidR="00525D14">
        <w:t xml:space="preserve">Most of the VSBC mediations are now held via videoconferencing.  </w:t>
      </w:r>
      <w:r w:rsidR="00525D14">
        <w:rPr>
          <w:szCs w:val="21"/>
        </w:rPr>
        <w:t>We will keep providing access to face-to-face mediation in some situations.  Don’t hesitate to talk with us about your specific needs.</w:t>
      </w:r>
    </w:p>
    <w:p w14:paraId="45E39BE2" w14:textId="2604F226" w:rsidR="00EB1FEE" w:rsidRDefault="00BA5B5E" w:rsidP="00337165">
      <w:pPr>
        <w:autoSpaceDE w:val="0"/>
        <w:autoSpaceDN w:val="0"/>
        <w:adjustRightInd w:val="0"/>
      </w:pPr>
      <w:r>
        <w:t>Mediation costs only $</w:t>
      </w:r>
      <w:r w:rsidR="00525D14">
        <w:t xml:space="preserve">300 </w:t>
      </w:r>
      <w:r>
        <w:t xml:space="preserve">per party per </w:t>
      </w:r>
      <w:r w:rsidR="00525D14">
        <w:t xml:space="preserve">half-day </w:t>
      </w:r>
      <w:r>
        <w:t>session and usually takes 3-4 hours.</w:t>
      </w:r>
    </w:p>
    <w:p w14:paraId="45E39BE3" w14:textId="77777777" w:rsidR="00EB1FEE" w:rsidRDefault="00EB1FEE" w:rsidP="00337165">
      <w:pPr>
        <w:autoSpaceDE w:val="0"/>
        <w:autoSpaceDN w:val="0"/>
        <w:adjustRightInd w:val="0"/>
      </w:pPr>
    </w:p>
    <w:p w14:paraId="45E39BE4" w14:textId="77777777" w:rsidR="00EB1FEE" w:rsidRDefault="00BA5B5E" w:rsidP="00337165">
      <w:pPr>
        <w:autoSpaceDE w:val="0"/>
        <w:autoSpaceDN w:val="0"/>
        <w:adjustRightInd w:val="0"/>
      </w:pPr>
      <w:r>
        <w:t>The mediation is confidential.  However, any settlement agreement may be taken to the Victorian Civil and Administrative Tribunal (</w:t>
      </w:r>
      <w:r w:rsidRPr="00337165">
        <w:rPr>
          <w:b/>
        </w:rPr>
        <w:t>VCAT</w:t>
      </w:r>
      <w:r>
        <w:t>) or an appropriate Court for enforcement, if necessary.</w:t>
      </w:r>
    </w:p>
    <w:p w14:paraId="45E39BE5" w14:textId="77777777" w:rsidR="00EB1FEE" w:rsidRDefault="00EB1FEE" w:rsidP="00337165">
      <w:pPr>
        <w:autoSpaceDE w:val="0"/>
        <w:autoSpaceDN w:val="0"/>
        <w:adjustRightInd w:val="0"/>
      </w:pPr>
    </w:p>
    <w:p w14:paraId="45E39BE6" w14:textId="77777777" w:rsidR="00EB1FEE" w:rsidRDefault="00BA5B5E" w:rsidP="00337165">
      <w:pPr>
        <w:autoSpaceDE w:val="0"/>
        <w:autoSpaceDN w:val="0"/>
        <w:adjustRightInd w:val="0"/>
        <w:rPr>
          <w:color w:val="000000"/>
        </w:rPr>
      </w:pPr>
      <w:r>
        <w:t>Each party pays their own costs at VCAT.  H</w:t>
      </w:r>
      <w:r>
        <w:rPr>
          <w:color w:val="000000"/>
        </w:rPr>
        <w:t>owever, where a party refuses to take part in mediation under the</w:t>
      </w:r>
      <w:r w:rsidR="00337165">
        <w:rPr>
          <w:color w:val="000000"/>
        </w:rPr>
        <w:t xml:space="preserve"> Act</w:t>
      </w:r>
      <w:r>
        <w:rPr>
          <w:color w:val="000000"/>
        </w:rPr>
        <w:t>, VCAT has the power to order that party to pay the costs of the other party.</w:t>
      </w:r>
    </w:p>
    <w:p w14:paraId="45E39BE7" w14:textId="77777777" w:rsidR="00EB1FEE" w:rsidRDefault="00EB1FEE" w:rsidP="00337165">
      <w:pPr>
        <w:autoSpaceDE w:val="0"/>
        <w:autoSpaceDN w:val="0"/>
        <w:adjustRightInd w:val="0"/>
      </w:pPr>
    </w:p>
    <w:p w14:paraId="45E39BE8" w14:textId="77777777" w:rsidR="00EB1FEE" w:rsidRDefault="00BA5B5E" w:rsidP="00337165">
      <w:r>
        <w:t xml:space="preserve">Further information, including the cost of mediation can be found on the VSBC’s website at </w:t>
      </w:r>
      <w:hyperlink r:id="rId12" w:history="1">
        <w:r>
          <w:rPr>
            <w:rStyle w:val="Hyperlink"/>
          </w:rPr>
          <w:t>www.vsbc.vic.gov.au</w:t>
        </w:r>
      </w:hyperlink>
    </w:p>
    <w:p w14:paraId="45E39BE9" w14:textId="77777777" w:rsidR="00EB1FEE" w:rsidRDefault="00EB1FEE" w:rsidP="00337165"/>
    <w:p w14:paraId="45E39BEA" w14:textId="77777777" w:rsidR="00EB1FEE" w:rsidRDefault="00BA5B5E" w:rsidP="00337165">
      <w:pPr>
        <w:pStyle w:val="Heading1"/>
        <w:rPr>
          <w:bCs w:val="0"/>
          <w:color w:val="000000"/>
          <w:sz w:val="28"/>
          <w:szCs w:val="28"/>
        </w:rPr>
      </w:pPr>
      <w:r>
        <w:rPr>
          <w:sz w:val="28"/>
          <w:szCs w:val="28"/>
        </w:rPr>
        <w:t>Further Information</w:t>
      </w:r>
    </w:p>
    <w:p w14:paraId="4E83D50D" w14:textId="77777777" w:rsidR="008F0D01" w:rsidRDefault="008F0D01" w:rsidP="00337165">
      <w:pPr>
        <w:pStyle w:val="Heading1"/>
        <w:rPr>
          <w:bCs w:val="0"/>
          <w:color w:val="000000"/>
          <w:sz w:val="28"/>
          <w:szCs w:val="28"/>
        </w:rPr>
      </w:pPr>
    </w:p>
    <w:p w14:paraId="45E39BEB" w14:textId="53A726AE" w:rsidR="00EB1FEE" w:rsidRDefault="00BA5B5E" w:rsidP="00337165">
      <w:pPr>
        <w:pStyle w:val="Heading1"/>
        <w:rPr>
          <w:bCs w:val="0"/>
          <w:color w:val="000000"/>
          <w:sz w:val="28"/>
          <w:szCs w:val="28"/>
        </w:rPr>
      </w:pPr>
      <w:r>
        <w:rPr>
          <w:bCs w:val="0"/>
          <w:color w:val="000000"/>
          <w:sz w:val="28"/>
          <w:szCs w:val="28"/>
        </w:rPr>
        <w:t>Contact the Victorian Small Business Commission</w:t>
      </w:r>
    </w:p>
    <w:p w14:paraId="45E39BEC" w14:textId="77777777" w:rsidR="00EB1FEE" w:rsidRDefault="00EB1FEE" w:rsidP="00337165">
      <w:pPr>
        <w:autoSpaceDE w:val="0"/>
        <w:autoSpaceDN w:val="0"/>
        <w:adjustRightInd w:val="0"/>
        <w:rPr>
          <w:b/>
          <w:bCs/>
          <w:color w:val="000000"/>
        </w:rPr>
      </w:pPr>
    </w:p>
    <w:p w14:paraId="32DC86C1" w14:textId="26CA63AA" w:rsidR="006F4439" w:rsidRPr="006F4439" w:rsidRDefault="006F4439" w:rsidP="006F4439">
      <w:pPr>
        <w:autoSpaceDE w:val="0"/>
        <w:autoSpaceDN w:val="0"/>
        <w:adjustRightInd w:val="0"/>
        <w:rPr>
          <w:color w:val="000000"/>
        </w:rPr>
      </w:pPr>
      <w:r w:rsidRPr="006F4439">
        <w:rPr>
          <w:color w:val="000000"/>
        </w:rPr>
        <w:t xml:space="preserve">121 Exhibition Street Melbourne Victoria 3000 </w:t>
      </w:r>
    </w:p>
    <w:p w14:paraId="512A724E" w14:textId="77777777" w:rsidR="006F4439" w:rsidRPr="006F4439" w:rsidRDefault="006F4439" w:rsidP="006F4439">
      <w:pPr>
        <w:autoSpaceDE w:val="0"/>
        <w:autoSpaceDN w:val="0"/>
        <w:adjustRightInd w:val="0"/>
        <w:rPr>
          <w:color w:val="000000"/>
        </w:rPr>
      </w:pPr>
      <w:r w:rsidRPr="006F4439">
        <w:rPr>
          <w:color w:val="000000"/>
        </w:rPr>
        <w:t>GPO Box 4509 Melbourne Victoria 3001</w:t>
      </w:r>
    </w:p>
    <w:p w14:paraId="4EB4348B" w14:textId="77777777" w:rsidR="006F4439" w:rsidRDefault="006F4439" w:rsidP="006F4439">
      <w:pPr>
        <w:autoSpaceDE w:val="0"/>
        <w:autoSpaceDN w:val="0"/>
        <w:adjustRightInd w:val="0"/>
        <w:rPr>
          <w:color w:val="000000"/>
        </w:rPr>
      </w:pPr>
    </w:p>
    <w:p w14:paraId="646FEC28" w14:textId="280E7BE8" w:rsidR="006F4439" w:rsidRPr="006F4439" w:rsidRDefault="006F4439" w:rsidP="006F4439">
      <w:pPr>
        <w:autoSpaceDE w:val="0"/>
        <w:autoSpaceDN w:val="0"/>
        <w:adjustRightInd w:val="0"/>
        <w:rPr>
          <w:color w:val="000000"/>
        </w:rPr>
      </w:pPr>
      <w:r w:rsidRPr="006F4439">
        <w:rPr>
          <w:color w:val="000000"/>
        </w:rPr>
        <w:t>Telephone 1800 878 964</w:t>
      </w:r>
    </w:p>
    <w:p w14:paraId="193E5114" w14:textId="77777777" w:rsidR="006F4439" w:rsidRDefault="006F4439" w:rsidP="006F4439">
      <w:pPr>
        <w:autoSpaceDE w:val="0"/>
        <w:autoSpaceDN w:val="0"/>
        <w:adjustRightInd w:val="0"/>
        <w:rPr>
          <w:color w:val="000000"/>
        </w:rPr>
      </w:pPr>
    </w:p>
    <w:p w14:paraId="34C3A1DC" w14:textId="2493578E" w:rsidR="006F4439" w:rsidRPr="006F4439" w:rsidRDefault="00A9529D" w:rsidP="006F4439">
      <w:pPr>
        <w:autoSpaceDE w:val="0"/>
        <w:autoSpaceDN w:val="0"/>
        <w:adjustRightInd w:val="0"/>
        <w:rPr>
          <w:color w:val="000000"/>
        </w:rPr>
      </w:pPr>
      <w:hyperlink r:id="rId13" w:history="1">
        <w:r w:rsidR="006F4439" w:rsidRPr="006F4439">
          <w:rPr>
            <w:rStyle w:val="Hyperlink"/>
          </w:rPr>
          <w:t>enquiries@vsbc.vic.gov.au</w:t>
        </w:r>
      </w:hyperlink>
    </w:p>
    <w:p w14:paraId="5F9335E3" w14:textId="77777777" w:rsidR="006F4439" w:rsidRDefault="006F4439" w:rsidP="006F4439">
      <w:pPr>
        <w:autoSpaceDE w:val="0"/>
        <w:autoSpaceDN w:val="0"/>
        <w:adjustRightInd w:val="0"/>
        <w:rPr>
          <w:color w:val="000000"/>
        </w:rPr>
      </w:pPr>
    </w:p>
    <w:p w14:paraId="50253AE7" w14:textId="2F104249" w:rsidR="006F4439" w:rsidRPr="006F4439" w:rsidRDefault="00A9529D" w:rsidP="006F4439">
      <w:pPr>
        <w:autoSpaceDE w:val="0"/>
        <w:autoSpaceDN w:val="0"/>
        <w:adjustRightInd w:val="0"/>
        <w:rPr>
          <w:color w:val="000000"/>
        </w:rPr>
      </w:pPr>
      <w:hyperlink r:id="rId14" w:history="1">
        <w:r w:rsidR="006F4439" w:rsidRPr="006F4439">
          <w:rPr>
            <w:rStyle w:val="Hyperlink"/>
          </w:rPr>
          <w:t>www.vsbc.vic.gov.au</w:t>
        </w:r>
      </w:hyperlink>
      <w:r w:rsidR="006F4439" w:rsidRPr="006F4439">
        <w:rPr>
          <w:color w:val="000000"/>
        </w:rPr>
        <w:t xml:space="preserve">  </w:t>
      </w:r>
    </w:p>
    <w:p w14:paraId="45E39BF1" w14:textId="77777777" w:rsidR="00EB1FEE" w:rsidRDefault="00EB1FEE" w:rsidP="00337165">
      <w:pPr>
        <w:rPr>
          <w:b/>
          <w:bCs/>
          <w:color w:val="0000FF"/>
          <w:lang w:eastAsia="en-AU"/>
        </w:rPr>
      </w:pPr>
    </w:p>
    <w:p w14:paraId="45E39BF2" w14:textId="257C813F" w:rsidR="00EB1FEE" w:rsidRPr="00D105D8" w:rsidRDefault="00BA5B5E" w:rsidP="006F4439">
      <w:pPr>
        <w:spacing w:before="240"/>
        <w:rPr>
          <w:b/>
          <w:bCs/>
          <w:color w:val="000000" w:themeColor="text1"/>
          <w:lang w:eastAsia="en-AU"/>
        </w:rPr>
      </w:pPr>
      <w:r w:rsidRPr="00D105D8">
        <w:rPr>
          <w:color w:val="000000" w:themeColor="text1"/>
          <w:lang w:eastAsia="en-AU"/>
        </w:rPr>
        <w:t>D</w:t>
      </w:r>
      <w:r w:rsidR="00D105D8" w:rsidRPr="00D105D8">
        <w:rPr>
          <w:color w:val="000000" w:themeColor="text1"/>
          <w:lang w:eastAsia="en-AU"/>
        </w:rPr>
        <w:t>OC</w:t>
      </w:r>
      <w:r w:rsidRPr="00D105D8">
        <w:rPr>
          <w:color w:val="000000" w:themeColor="text1"/>
          <w:lang w:eastAsia="en-AU"/>
        </w:rPr>
        <w:t>:</w:t>
      </w:r>
      <w:r w:rsidRPr="00D105D8">
        <w:rPr>
          <w:b/>
          <w:bCs/>
          <w:color w:val="000000" w:themeColor="text1"/>
          <w:lang w:eastAsia="en-AU"/>
        </w:rPr>
        <w:t xml:space="preserve"> 11/18198</w:t>
      </w:r>
    </w:p>
    <w:sectPr w:rsidR="00EB1FEE" w:rsidRPr="00D105D8" w:rsidSect="00FD1AFD">
      <w:headerReference w:type="default" r:id="rId15"/>
      <w:footerReference w:type="even" r:id="rId16"/>
      <w:footerReference w:type="default" r:id="rId17"/>
      <w:footerReference w:type="first" r:id="rId18"/>
      <w:pgSz w:w="12240" w:h="15840"/>
      <w:pgMar w:top="1440" w:right="1797" w:bottom="1276"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AA247" w14:textId="77777777" w:rsidR="00C84C84" w:rsidRDefault="00C84C84">
      <w:r>
        <w:separator/>
      </w:r>
    </w:p>
  </w:endnote>
  <w:endnote w:type="continuationSeparator" w:id="0">
    <w:p w14:paraId="2E617870" w14:textId="77777777" w:rsidR="00C84C84" w:rsidRDefault="00C8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9BF9" w14:textId="77777777" w:rsidR="00EB1FEE" w:rsidRDefault="00BA5B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5E39BFA" w14:textId="77777777" w:rsidR="00EB1FEE" w:rsidRDefault="00A9529D">
    <w:pPr>
      <w:pStyle w:val="Footer"/>
    </w:pPr>
    <w:r>
      <w:fldChar w:fldCharType="begin"/>
    </w:r>
    <w:r>
      <w:instrText xml:space="preserve"> DOCPROPERTY DocumentID \* MERGEFORMAT </w:instrText>
    </w:r>
    <w:r>
      <w:fldChar w:fldCharType="separate"/>
    </w:r>
    <w:r w:rsidR="00C551F3" w:rsidRPr="00C551F3">
      <w:rPr>
        <w:color w:val="191919"/>
        <w:sz w:val="13"/>
      </w:rPr>
      <w:t>ME_107250939_3 (W2007)</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9BFB" w14:textId="25EEFC4A" w:rsidR="00EB1FEE" w:rsidRDefault="00D70618">
    <w:pPr>
      <w:pStyle w:val="Footer"/>
      <w:framePr w:wrap="around" w:vAnchor="text" w:hAnchor="margin" w:xAlign="center" w:y="1"/>
      <w:rPr>
        <w:rStyle w:val="PageNumber"/>
      </w:rPr>
    </w:pPr>
    <w:r>
      <w:rPr>
        <w:noProof/>
      </w:rPr>
      <mc:AlternateContent>
        <mc:Choice Requires="wps">
          <w:drawing>
            <wp:anchor distT="0" distB="0" distL="114300" distR="114300" simplePos="0" relativeHeight="251657216" behindDoc="0" locked="0" layoutInCell="0" allowOverlap="1" wp14:anchorId="5C515D2D" wp14:editId="651B6401">
              <wp:simplePos x="0" y="0"/>
              <wp:positionH relativeFrom="page">
                <wp:posOffset>0</wp:posOffset>
              </wp:positionH>
              <wp:positionV relativeFrom="page">
                <wp:posOffset>9615170</wp:posOffset>
              </wp:positionV>
              <wp:extent cx="7772400" cy="252095"/>
              <wp:effectExtent l="0" t="0" r="0" b="14605"/>
              <wp:wrapNone/>
              <wp:docPr id="2" name="MSIPCM95ce47749640104a54a9b515" descr="{&quot;HashCode&quot;:37626020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276263" w14:textId="01FCEA65" w:rsidR="00D70618" w:rsidRPr="00D70618" w:rsidRDefault="00D70618" w:rsidP="00D70618">
                          <w:pPr>
                            <w:jc w:val="center"/>
                            <w:rPr>
                              <w:rFonts w:ascii="Arial" w:hAnsi="Arial" w:cs="Arial"/>
                              <w:color w:val="000000"/>
                            </w:rPr>
                          </w:pPr>
                          <w:r w:rsidRPr="00D70618">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515D2D" id="_x0000_t202" coordsize="21600,21600" o:spt="202" path="m,l,21600r21600,l21600,xe">
              <v:stroke joinstyle="miter"/>
              <v:path gradientshapeok="t" o:connecttype="rect"/>
            </v:shapetype>
            <v:shape id="MSIPCM95ce47749640104a54a9b515" o:spid="_x0000_s1027" type="#_x0000_t202" alt="{&quot;HashCode&quot;:376260202,&quot;Height&quot;:792.0,&quot;Width&quot;:612.0,&quot;Placement&quot;:&quot;Footer&quot;,&quot;Index&quot;:&quot;Primary&quot;,&quot;Section&quot;:1,&quot;Top&quot;:0.0,&quot;Left&quot;:0.0}" style="position:absolute;margin-left:0;margin-top:757.1pt;width:612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" o:allowincell="f" filled="f" stroked="f" strokeweight=".5pt">
              <v:textbox inset=",0,,0">
                <w:txbxContent>
                  <w:p w14:paraId="2D276263" w14:textId="01FCEA65" w:rsidR="00D70618" w:rsidRPr="00D70618" w:rsidRDefault="00D70618" w:rsidP="00D70618">
                    <w:pPr>
                      <w:jc w:val="center"/>
                      <w:rPr>
                        <w:rFonts w:ascii="Arial" w:hAnsi="Arial" w:cs="Arial"/>
                        <w:color w:val="000000"/>
                      </w:rPr>
                    </w:pPr>
                    <w:r w:rsidRPr="00D70618">
                      <w:rPr>
                        <w:rFonts w:ascii="Arial" w:hAnsi="Arial" w:cs="Arial"/>
                        <w:color w:val="000000"/>
                      </w:rPr>
                      <w:t>OFFICIAL</w:t>
                    </w:r>
                  </w:p>
                </w:txbxContent>
              </v:textbox>
              <w10:wrap anchorx="page" anchory="page"/>
            </v:shape>
          </w:pict>
        </mc:Fallback>
      </mc:AlternateContent>
    </w:r>
    <w:r w:rsidR="00BA5B5E">
      <w:rPr>
        <w:rStyle w:val="PageNumber"/>
      </w:rPr>
      <w:fldChar w:fldCharType="begin"/>
    </w:r>
    <w:r w:rsidR="00BA5B5E">
      <w:rPr>
        <w:rStyle w:val="PageNumber"/>
      </w:rPr>
      <w:instrText xml:space="preserve">PAGE  </w:instrText>
    </w:r>
    <w:r w:rsidR="00BA5B5E">
      <w:rPr>
        <w:rStyle w:val="PageNumber"/>
      </w:rPr>
      <w:fldChar w:fldCharType="separate"/>
    </w:r>
    <w:r w:rsidR="00F15276">
      <w:rPr>
        <w:rStyle w:val="PageNumber"/>
        <w:noProof/>
      </w:rPr>
      <w:t>1</w:t>
    </w:r>
    <w:r w:rsidR="00BA5B5E">
      <w:rPr>
        <w:rStyle w:val="PageNumber"/>
      </w:rPr>
      <w:fldChar w:fldCharType="end"/>
    </w:r>
  </w:p>
  <w:p w14:paraId="45E39BFC" w14:textId="77777777" w:rsidR="00EB1FEE" w:rsidRDefault="00EB1FEE" w:rsidP="001C3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9BFD" w14:textId="77777777" w:rsidR="00EB1FEE" w:rsidRDefault="00A9529D">
    <w:pPr>
      <w:pStyle w:val="Footer"/>
    </w:pPr>
    <w:r>
      <w:fldChar w:fldCharType="begin"/>
    </w:r>
    <w:r>
      <w:instrText xml:space="preserve"> DOCPROPERTY DocumentID \* MERGEFORMAT </w:instrText>
    </w:r>
    <w:r>
      <w:fldChar w:fldCharType="separate"/>
    </w:r>
    <w:r w:rsidR="00C551F3" w:rsidRPr="00C551F3">
      <w:rPr>
        <w:color w:val="191919"/>
        <w:sz w:val="13"/>
      </w:rPr>
      <w:t>ME_107250939_3 (W2007)</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2C37" w14:textId="77777777" w:rsidR="00C84C84" w:rsidRDefault="00C84C84">
      <w:r>
        <w:separator/>
      </w:r>
    </w:p>
  </w:footnote>
  <w:footnote w:type="continuationSeparator" w:id="0">
    <w:p w14:paraId="3FE0B8B9" w14:textId="77777777" w:rsidR="00C84C84" w:rsidRDefault="00C8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888A" w14:textId="165C46F5" w:rsidR="00D70618" w:rsidRDefault="00D70618">
    <w:pPr>
      <w:pStyle w:val="Header"/>
    </w:pPr>
    <w:r>
      <w:rPr>
        <w:noProof/>
      </w:rPr>
      <mc:AlternateContent>
        <mc:Choice Requires="wps">
          <w:drawing>
            <wp:anchor distT="0" distB="0" distL="114300" distR="114300" simplePos="0" relativeHeight="251661312" behindDoc="0" locked="0" layoutInCell="0" allowOverlap="1" wp14:anchorId="6D1AF40D" wp14:editId="10201A9F">
              <wp:simplePos x="0" y="0"/>
              <wp:positionH relativeFrom="page">
                <wp:posOffset>0</wp:posOffset>
              </wp:positionH>
              <wp:positionV relativeFrom="page">
                <wp:posOffset>190500</wp:posOffset>
              </wp:positionV>
              <wp:extent cx="7772400" cy="252095"/>
              <wp:effectExtent l="0" t="0" r="0" b="14605"/>
              <wp:wrapNone/>
              <wp:docPr id="3" name="MSIPCMae3f4108ad071692ef5b892b" descr="{&quot;HashCode&quot;:35212263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ED985C" w14:textId="18B77404" w:rsidR="00D70618" w:rsidRPr="00D70618" w:rsidRDefault="00D70618" w:rsidP="00D70618">
                          <w:pPr>
                            <w:jc w:val="center"/>
                            <w:rPr>
                              <w:rFonts w:ascii="Arial" w:hAnsi="Arial" w:cs="Arial"/>
                              <w:color w:val="000000"/>
                            </w:rPr>
                          </w:pPr>
                          <w:r w:rsidRPr="00D70618">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D1AF40D" id="_x0000_t202" coordsize="21600,21600" o:spt="202" path="m,l,21600r21600,l21600,xe">
              <v:stroke joinstyle="miter"/>
              <v:path gradientshapeok="t" o:connecttype="rect"/>
            </v:shapetype>
            <v:shape id="MSIPCMae3f4108ad071692ef5b892b" o:spid="_x0000_s1026" type="#_x0000_t202" alt="{&quot;HashCode&quot;:352122633,&quot;Height&quot;:792.0,&quot;Width&quot;:612.0,&quot;Placement&quot;:&quot;Header&quot;,&quot;Index&quot;:&quot;Primary&quot;,&quot;Section&quot;:1,&quot;Top&quot;:0.0,&quot;Left&quot;:0.0}" style="position:absolute;margin-left:0;margin-top:15pt;width:612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SKEwIAACQ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" o:allowincell="f" filled="f" stroked="f" strokeweight=".5pt">
              <v:textbox inset=",0,,0">
                <w:txbxContent>
                  <w:p w14:paraId="5FED985C" w14:textId="18B77404" w:rsidR="00D70618" w:rsidRPr="00D70618" w:rsidRDefault="00D70618" w:rsidP="00D70618">
                    <w:pPr>
                      <w:jc w:val="center"/>
                      <w:rPr>
                        <w:rFonts w:ascii="Arial" w:hAnsi="Arial" w:cs="Arial"/>
                        <w:color w:val="000000"/>
                      </w:rPr>
                    </w:pPr>
                    <w:r w:rsidRPr="00D70618">
                      <w:rPr>
                        <w:rFonts w:ascii="Arial" w:hAnsi="Arial" w:cs="Arial"/>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800"/>
    <w:multiLevelType w:val="hybridMultilevel"/>
    <w:tmpl w:val="1BBC6C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A1533"/>
    <w:multiLevelType w:val="multilevel"/>
    <w:tmpl w:val="BE6245AC"/>
    <w:lvl w:ilvl="0">
      <w:start w:val="18"/>
      <w:numFmt w:val="decimal"/>
      <w:lvlText w:val="%1.0"/>
      <w:lvlJc w:val="left"/>
      <w:pPr>
        <w:tabs>
          <w:tab w:val="num" w:pos="735"/>
        </w:tabs>
        <w:ind w:left="735" w:hanging="735"/>
      </w:pPr>
      <w:rPr>
        <w:rFonts w:hint="default"/>
      </w:rPr>
    </w:lvl>
    <w:lvl w:ilvl="1">
      <w:start w:val="1"/>
      <w:numFmt w:val="decimal"/>
      <w:lvlText w:val="%1.%2"/>
      <w:lvlJc w:val="left"/>
      <w:pPr>
        <w:tabs>
          <w:tab w:val="num" w:pos="1455"/>
        </w:tabs>
        <w:ind w:left="1455" w:hanging="735"/>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15:restartNumberingAfterBreak="0">
    <w:nsid w:val="0D0A7995"/>
    <w:multiLevelType w:val="hybridMultilevel"/>
    <w:tmpl w:val="24AE74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E22B9"/>
    <w:multiLevelType w:val="hybridMultilevel"/>
    <w:tmpl w:val="CE08AD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3F165B"/>
    <w:multiLevelType w:val="singleLevel"/>
    <w:tmpl w:val="F0EC3ED6"/>
    <w:lvl w:ilvl="0">
      <w:start w:val="1"/>
      <w:numFmt w:val="bullet"/>
      <w:lvlText w:val="·"/>
      <w:lvlJc w:val="left"/>
      <w:pPr>
        <w:tabs>
          <w:tab w:val="num" w:pos="680"/>
        </w:tabs>
        <w:ind w:left="680" w:hanging="680"/>
      </w:pPr>
      <w:rPr>
        <w:rFonts w:ascii="Symbol" w:hAnsi="Symbol" w:hint="default"/>
      </w:rPr>
    </w:lvl>
  </w:abstractNum>
  <w:abstractNum w:abstractNumId="5" w15:restartNumberingAfterBreak="0">
    <w:nsid w:val="13585440"/>
    <w:multiLevelType w:val="hybridMultilevel"/>
    <w:tmpl w:val="7758F4F8"/>
    <w:lvl w:ilvl="0" w:tplc="173C9C8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6D18AB"/>
    <w:multiLevelType w:val="singleLevel"/>
    <w:tmpl w:val="C0A87F74"/>
    <w:lvl w:ilvl="0">
      <w:start w:val="1"/>
      <w:numFmt w:val="bullet"/>
      <w:lvlText w:val="·"/>
      <w:lvlJc w:val="left"/>
      <w:pPr>
        <w:tabs>
          <w:tab w:val="num" w:pos="680"/>
        </w:tabs>
        <w:ind w:left="680" w:hanging="680"/>
      </w:pPr>
      <w:rPr>
        <w:rFonts w:ascii="Symbol" w:hAnsi="Symbol" w:hint="default"/>
      </w:rPr>
    </w:lvl>
  </w:abstractNum>
  <w:abstractNum w:abstractNumId="7" w15:restartNumberingAfterBreak="0">
    <w:nsid w:val="194A6781"/>
    <w:multiLevelType w:val="hybridMultilevel"/>
    <w:tmpl w:val="F93045EA"/>
    <w:lvl w:ilvl="0" w:tplc="F490F348">
      <w:start w:val="1"/>
      <w:numFmt w:val="bullet"/>
      <w:lvlText w:val=""/>
      <w:lvlJc w:val="left"/>
      <w:pPr>
        <w:tabs>
          <w:tab w:val="num" w:pos="1077"/>
        </w:tabs>
        <w:ind w:left="1363" w:hanging="28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54483"/>
    <w:multiLevelType w:val="multilevel"/>
    <w:tmpl w:val="3244C7A4"/>
    <w:lvl w:ilvl="0">
      <w:start w:val="2"/>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2D6C1B"/>
    <w:multiLevelType w:val="hybridMultilevel"/>
    <w:tmpl w:val="2D48A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C07FB"/>
    <w:multiLevelType w:val="hybridMultilevel"/>
    <w:tmpl w:val="209E9228"/>
    <w:lvl w:ilvl="0" w:tplc="0C090001">
      <w:start w:val="1"/>
      <w:numFmt w:val="bullet"/>
      <w:lvlText w:val=""/>
      <w:lvlJc w:val="left"/>
      <w:pPr>
        <w:tabs>
          <w:tab w:val="num" w:pos="720"/>
        </w:tabs>
        <w:ind w:left="720" w:hanging="360"/>
      </w:pPr>
      <w:rPr>
        <w:rFonts w:ascii="Symbol" w:hAnsi="Symbol" w:hint="default"/>
      </w:rPr>
    </w:lvl>
    <w:lvl w:ilvl="1" w:tplc="D8FCB2E0">
      <w:start w:val="1"/>
      <w:numFmt w:val="bullet"/>
      <w:lvlText w:val=""/>
      <w:lvlJc w:val="left"/>
      <w:pPr>
        <w:tabs>
          <w:tab w:val="num" w:pos="1260"/>
        </w:tabs>
        <w:ind w:left="1260" w:hanging="360"/>
      </w:pPr>
      <w:rPr>
        <w:rFonts w:ascii="Symbol" w:hAnsi="Symbol" w:hint="default"/>
      </w:r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1" w15:restartNumberingAfterBreak="0">
    <w:nsid w:val="229847E6"/>
    <w:multiLevelType w:val="hybridMultilevel"/>
    <w:tmpl w:val="CB949C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F4B50"/>
    <w:multiLevelType w:val="hybridMultilevel"/>
    <w:tmpl w:val="DF44B8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81AA4"/>
    <w:multiLevelType w:val="multilevel"/>
    <w:tmpl w:val="8D5CA07C"/>
    <w:lvl w:ilvl="0">
      <w:start w:val="12"/>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840E43"/>
    <w:multiLevelType w:val="multilevel"/>
    <w:tmpl w:val="3244C7A4"/>
    <w:lvl w:ilvl="0">
      <w:start w:val="2"/>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E14EC0"/>
    <w:multiLevelType w:val="hybridMultilevel"/>
    <w:tmpl w:val="C368DF58"/>
    <w:lvl w:ilvl="0" w:tplc="093C80A6">
      <w:start w:val="1"/>
      <w:numFmt w:val="lowerLetter"/>
      <w:lvlText w:val="(%1)"/>
      <w:lvlJc w:val="left"/>
      <w:pPr>
        <w:ind w:left="1014" w:hanging="360"/>
      </w:pPr>
      <w:rPr>
        <w:rFonts w:hint="default"/>
      </w:rPr>
    </w:lvl>
    <w:lvl w:ilvl="1" w:tplc="0C090019" w:tentative="1">
      <w:start w:val="1"/>
      <w:numFmt w:val="lowerLetter"/>
      <w:lvlText w:val="%2."/>
      <w:lvlJc w:val="left"/>
      <w:pPr>
        <w:ind w:left="1734" w:hanging="360"/>
      </w:pPr>
    </w:lvl>
    <w:lvl w:ilvl="2" w:tplc="0C09001B" w:tentative="1">
      <w:start w:val="1"/>
      <w:numFmt w:val="lowerRoman"/>
      <w:lvlText w:val="%3."/>
      <w:lvlJc w:val="right"/>
      <w:pPr>
        <w:ind w:left="2454" w:hanging="180"/>
      </w:pPr>
    </w:lvl>
    <w:lvl w:ilvl="3" w:tplc="0C09000F" w:tentative="1">
      <w:start w:val="1"/>
      <w:numFmt w:val="decimal"/>
      <w:lvlText w:val="%4."/>
      <w:lvlJc w:val="left"/>
      <w:pPr>
        <w:ind w:left="3174" w:hanging="360"/>
      </w:pPr>
    </w:lvl>
    <w:lvl w:ilvl="4" w:tplc="0C090019" w:tentative="1">
      <w:start w:val="1"/>
      <w:numFmt w:val="lowerLetter"/>
      <w:lvlText w:val="%5."/>
      <w:lvlJc w:val="left"/>
      <w:pPr>
        <w:ind w:left="3894" w:hanging="360"/>
      </w:pPr>
    </w:lvl>
    <w:lvl w:ilvl="5" w:tplc="0C09001B" w:tentative="1">
      <w:start w:val="1"/>
      <w:numFmt w:val="lowerRoman"/>
      <w:lvlText w:val="%6."/>
      <w:lvlJc w:val="right"/>
      <w:pPr>
        <w:ind w:left="4614" w:hanging="180"/>
      </w:pPr>
    </w:lvl>
    <w:lvl w:ilvl="6" w:tplc="0C09000F" w:tentative="1">
      <w:start w:val="1"/>
      <w:numFmt w:val="decimal"/>
      <w:lvlText w:val="%7."/>
      <w:lvlJc w:val="left"/>
      <w:pPr>
        <w:ind w:left="5334" w:hanging="360"/>
      </w:pPr>
    </w:lvl>
    <w:lvl w:ilvl="7" w:tplc="0C090019" w:tentative="1">
      <w:start w:val="1"/>
      <w:numFmt w:val="lowerLetter"/>
      <w:lvlText w:val="%8."/>
      <w:lvlJc w:val="left"/>
      <w:pPr>
        <w:ind w:left="6054" w:hanging="360"/>
      </w:pPr>
    </w:lvl>
    <w:lvl w:ilvl="8" w:tplc="0C09001B" w:tentative="1">
      <w:start w:val="1"/>
      <w:numFmt w:val="lowerRoman"/>
      <w:lvlText w:val="%9."/>
      <w:lvlJc w:val="right"/>
      <w:pPr>
        <w:ind w:left="6774" w:hanging="180"/>
      </w:pPr>
    </w:lvl>
  </w:abstractNum>
  <w:abstractNum w:abstractNumId="16" w15:restartNumberingAfterBreak="0">
    <w:nsid w:val="38460696"/>
    <w:multiLevelType w:val="hybridMultilevel"/>
    <w:tmpl w:val="A3847D3A"/>
    <w:lvl w:ilvl="0" w:tplc="F490F348">
      <w:start w:val="1"/>
      <w:numFmt w:val="bullet"/>
      <w:lvlText w:val=""/>
      <w:lvlJc w:val="left"/>
      <w:pPr>
        <w:tabs>
          <w:tab w:val="num" w:pos="1077"/>
        </w:tabs>
        <w:ind w:left="1363" w:hanging="28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A07895"/>
    <w:multiLevelType w:val="hybridMultilevel"/>
    <w:tmpl w:val="A204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31693"/>
    <w:multiLevelType w:val="hybridMultilevel"/>
    <w:tmpl w:val="800E0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9C005B"/>
    <w:multiLevelType w:val="multilevel"/>
    <w:tmpl w:val="86468D9C"/>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BC36CB4"/>
    <w:multiLevelType w:val="hybridMultilevel"/>
    <w:tmpl w:val="EF147F4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3ECE2521"/>
    <w:multiLevelType w:val="hybridMultilevel"/>
    <w:tmpl w:val="30325F98"/>
    <w:lvl w:ilvl="0" w:tplc="FD9E4C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65373B"/>
    <w:multiLevelType w:val="hybridMultilevel"/>
    <w:tmpl w:val="140EDD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6710E01"/>
    <w:multiLevelType w:val="hybridMultilevel"/>
    <w:tmpl w:val="F22ACFF4"/>
    <w:lvl w:ilvl="0" w:tplc="5434CAEA">
      <w:start w:val="1"/>
      <w:numFmt w:val="lowerLetter"/>
      <w:lvlText w:val="(%1)"/>
      <w:lvlJc w:val="left"/>
      <w:pPr>
        <w:tabs>
          <w:tab w:val="num" w:pos="1079"/>
        </w:tabs>
        <w:ind w:left="1079" w:hanging="540"/>
      </w:pPr>
      <w:rPr>
        <w:rFonts w:hint="default"/>
      </w:rPr>
    </w:lvl>
    <w:lvl w:ilvl="1" w:tplc="0C090019" w:tentative="1">
      <w:start w:val="1"/>
      <w:numFmt w:val="lowerLetter"/>
      <w:lvlText w:val="%2."/>
      <w:lvlJc w:val="left"/>
      <w:pPr>
        <w:tabs>
          <w:tab w:val="num" w:pos="1619"/>
        </w:tabs>
        <w:ind w:left="1619" w:hanging="360"/>
      </w:pPr>
    </w:lvl>
    <w:lvl w:ilvl="2" w:tplc="0C09001B" w:tentative="1">
      <w:start w:val="1"/>
      <w:numFmt w:val="lowerRoman"/>
      <w:lvlText w:val="%3."/>
      <w:lvlJc w:val="right"/>
      <w:pPr>
        <w:tabs>
          <w:tab w:val="num" w:pos="2339"/>
        </w:tabs>
        <w:ind w:left="2339" w:hanging="180"/>
      </w:pPr>
    </w:lvl>
    <w:lvl w:ilvl="3" w:tplc="0C09000F" w:tentative="1">
      <w:start w:val="1"/>
      <w:numFmt w:val="decimal"/>
      <w:lvlText w:val="%4."/>
      <w:lvlJc w:val="left"/>
      <w:pPr>
        <w:tabs>
          <w:tab w:val="num" w:pos="3059"/>
        </w:tabs>
        <w:ind w:left="3059" w:hanging="360"/>
      </w:pPr>
    </w:lvl>
    <w:lvl w:ilvl="4" w:tplc="0C090019" w:tentative="1">
      <w:start w:val="1"/>
      <w:numFmt w:val="lowerLetter"/>
      <w:lvlText w:val="%5."/>
      <w:lvlJc w:val="left"/>
      <w:pPr>
        <w:tabs>
          <w:tab w:val="num" w:pos="3779"/>
        </w:tabs>
        <w:ind w:left="3779" w:hanging="360"/>
      </w:pPr>
    </w:lvl>
    <w:lvl w:ilvl="5" w:tplc="0C09001B" w:tentative="1">
      <w:start w:val="1"/>
      <w:numFmt w:val="lowerRoman"/>
      <w:lvlText w:val="%6."/>
      <w:lvlJc w:val="right"/>
      <w:pPr>
        <w:tabs>
          <w:tab w:val="num" w:pos="4499"/>
        </w:tabs>
        <w:ind w:left="4499" w:hanging="180"/>
      </w:pPr>
    </w:lvl>
    <w:lvl w:ilvl="6" w:tplc="0C09000F" w:tentative="1">
      <w:start w:val="1"/>
      <w:numFmt w:val="decimal"/>
      <w:lvlText w:val="%7."/>
      <w:lvlJc w:val="left"/>
      <w:pPr>
        <w:tabs>
          <w:tab w:val="num" w:pos="5219"/>
        </w:tabs>
        <w:ind w:left="5219" w:hanging="360"/>
      </w:pPr>
    </w:lvl>
    <w:lvl w:ilvl="7" w:tplc="0C090019" w:tentative="1">
      <w:start w:val="1"/>
      <w:numFmt w:val="lowerLetter"/>
      <w:lvlText w:val="%8."/>
      <w:lvlJc w:val="left"/>
      <w:pPr>
        <w:tabs>
          <w:tab w:val="num" w:pos="5939"/>
        </w:tabs>
        <w:ind w:left="5939" w:hanging="360"/>
      </w:pPr>
    </w:lvl>
    <w:lvl w:ilvl="8" w:tplc="0C09001B" w:tentative="1">
      <w:start w:val="1"/>
      <w:numFmt w:val="lowerRoman"/>
      <w:lvlText w:val="%9."/>
      <w:lvlJc w:val="right"/>
      <w:pPr>
        <w:tabs>
          <w:tab w:val="num" w:pos="6659"/>
        </w:tabs>
        <w:ind w:left="6659" w:hanging="180"/>
      </w:pPr>
    </w:lvl>
  </w:abstractNum>
  <w:abstractNum w:abstractNumId="24" w15:restartNumberingAfterBreak="0">
    <w:nsid w:val="46991F18"/>
    <w:multiLevelType w:val="hybridMultilevel"/>
    <w:tmpl w:val="28B65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40B36"/>
    <w:multiLevelType w:val="hybridMultilevel"/>
    <w:tmpl w:val="96D4A938"/>
    <w:lvl w:ilvl="0" w:tplc="21A8A8EA">
      <w:start w:val="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6E95E26"/>
    <w:multiLevelType w:val="hybridMultilevel"/>
    <w:tmpl w:val="5F8A885E"/>
    <w:lvl w:ilvl="0" w:tplc="F490F348">
      <w:start w:val="1"/>
      <w:numFmt w:val="bullet"/>
      <w:lvlText w:val=""/>
      <w:lvlJc w:val="left"/>
      <w:pPr>
        <w:tabs>
          <w:tab w:val="num" w:pos="1077"/>
        </w:tabs>
        <w:ind w:left="1363" w:hanging="28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A4D25"/>
    <w:multiLevelType w:val="hybridMultilevel"/>
    <w:tmpl w:val="3244C7A4"/>
    <w:lvl w:ilvl="0" w:tplc="4CDC085C">
      <w:start w:val="2"/>
      <w:numFmt w:val="decimal"/>
      <w:lvlText w:val="(%1)"/>
      <w:lvlJc w:val="left"/>
      <w:pPr>
        <w:tabs>
          <w:tab w:val="num" w:pos="540"/>
        </w:tabs>
        <w:ind w:left="540" w:hanging="54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9A72B4D"/>
    <w:multiLevelType w:val="multilevel"/>
    <w:tmpl w:val="C84C91D6"/>
    <w:lvl w:ilvl="0">
      <w:start w:val="10"/>
      <w:numFmt w:val="decimal"/>
      <w:lvlText w:val="%1"/>
      <w:lvlJc w:val="left"/>
      <w:pPr>
        <w:tabs>
          <w:tab w:val="num" w:pos="675"/>
        </w:tabs>
        <w:ind w:left="675" w:hanging="6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B7E4B64"/>
    <w:multiLevelType w:val="multilevel"/>
    <w:tmpl w:val="DA28F426"/>
    <w:lvl w:ilvl="0">
      <w:start w:val="13"/>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CF84F83"/>
    <w:multiLevelType w:val="hybridMultilevel"/>
    <w:tmpl w:val="E34672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682383"/>
    <w:multiLevelType w:val="hybridMultilevel"/>
    <w:tmpl w:val="310CFC3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2" w15:restartNumberingAfterBreak="0">
    <w:nsid w:val="6018376D"/>
    <w:multiLevelType w:val="multilevel"/>
    <w:tmpl w:val="35289B50"/>
    <w:lvl w:ilvl="0">
      <w:start w:val="8"/>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03401EA"/>
    <w:multiLevelType w:val="multilevel"/>
    <w:tmpl w:val="489AC30E"/>
    <w:lvl w:ilvl="0">
      <w:start w:val="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054340A"/>
    <w:multiLevelType w:val="singleLevel"/>
    <w:tmpl w:val="22322B40"/>
    <w:lvl w:ilvl="0">
      <w:start w:val="1"/>
      <w:numFmt w:val="bullet"/>
      <w:lvlText w:val="·"/>
      <w:lvlJc w:val="left"/>
      <w:pPr>
        <w:tabs>
          <w:tab w:val="num" w:pos="680"/>
        </w:tabs>
        <w:ind w:left="680" w:hanging="680"/>
      </w:pPr>
      <w:rPr>
        <w:rFonts w:ascii="Symbol" w:hAnsi="Symbol" w:hint="default"/>
      </w:rPr>
    </w:lvl>
  </w:abstractNum>
  <w:abstractNum w:abstractNumId="35" w15:restartNumberingAfterBreak="0">
    <w:nsid w:val="60E9248F"/>
    <w:multiLevelType w:val="hybridMultilevel"/>
    <w:tmpl w:val="8CE4678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355075E"/>
    <w:multiLevelType w:val="hybridMultilevel"/>
    <w:tmpl w:val="C97AE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4B64DD"/>
    <w:multiLevelType w:val="hybridMultilevel"/>
    <w:tmpl w:val="5C0216E0"/>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38" w15:restartNumberingAfterBreak="0">
    <w:nsid w:val="6BE04F86"/>
    <w:multiLevelType w:val="hybridMultilevel"/>
    <w:tmpl w:val="2990F9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FA5039"/>
    <w:multiLevelType w:val="multilevel"/>
    <w:tmpl w:val="E80245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0" w15:restartNumberingAfterBreak="0">
    <w:nsid w:val="70FE010B"/>
    <w:multiLevelType w:val="multilevel"/>
    <w:tmpl w:val="4FD87DE2"/>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72C71BD5"/>
    <w:multiLevelType w:val="multilevel"/>
    <w:tmpl w:val="BE6245AC"/>
    <w:lvl w:ilvl="0">
      <w:start w:val="18"/>
      <w:numFmt w:val="decimal"/>
      <w:lvlText w:val="%1.0"/>
      <w:lvlJc w:val="left"/>
      <w:pPr>
        <w:tabs>
          <w:tab w:val="num" w:pos="735"/>
        </w:tabs>
        <w:ind w:left="735" w:hanging="735"/>
      </w:pPr>
      <w:rPr>
        <w:rFonts w:hint="default"/>
      </w:rPr>
    </w:lvl>
    <w:lvl w:ilvl="1">
      <w:start w:val="1"/>
      <w:numFmt w:val="decimal"/>
      <w:lvlText w:val="%1.%2"/>
      <w:lvlJc w:val="left"/>
      <w:pPr>
        <w:tabs>
          <w:tab w:val="num" w:pos="1455"/>
        </w:tabs>
        <w:ind w:left="1455" w:hanging="735"/>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2" w15:restartNumberingAfterBreak="0">
    <w:nsid w:val="78813EAA"/>
    <w:multiLevelType w:val="hybridMultilevel"/>
    <w:tmpl w:val="47E21ED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9574599"/>
    <w:multiLevelType w:val="singleLevel"/>
    <w:tmpl w:val="095A0F50"/>
    <w:lvl w:ilvl="0">
      <w:start w:val="1"/>
      <w:numFmt w:val="bullet"/>
      <w:lvlText w:val="·"/>
      <w:lvlJc w:val="left"/>
      <w:pPr>
        <w:tabs>
          <w:tab w:val="num" w:pos="680"/>
        </w:tabs>
        <w:ind w:left="680" w:hanging="680"/>
      </w:pPr>
      <w:rPr>
        <w:rFonts w:ascii="Symbol" w:hAnsi="Symbol" w:hint="default"/>
      </w:rPr>
    </w:lvl>
  </w:abstractNum>
  <w:abstractNum w:abstractNumId="44" w15:restartNumberingAfterBreak="0">
    <w:nsid w:val="79DE0477"/>
    <w:multiLevelType w:val="hybridMultilevel"/>
    <w:tmpl w:val="0CE87CE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AD63A5C"/>
    <w:multiLevelType w:val="hybridMultilevel"/>
    <w:tmpl w:val="2424CCD8"/>
    <w:lvl w:ilvl="0" w:tplc="AC56ED6E">
      <w:start w:val="1"/>
      <w:numFmt w:val="lowerLetter"/>
      <w:lvlText w:val="(%1)"/>
      <w:lvlJc w:val="left"/>
      <w:pPr>
        <w:tabs>
          <w:tab w:val="num" w:pos="900"/>
        </w:tabs>
        <w:ind w:left="900" w:hanging="72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6" w15:restartNumberingAfterBreak="0">
    <w:nsid w:val="7AE627BD"/>
    <w:multiLevelType w:val="hybridMultilevel"/>
    <w:tmpl w:val="A4CEF3F4"/>
    <w:lvl w:ilvl="0" w:tplc="9522CE3E">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491718316">
    <w:abstractNumId w:val="46"/>
  </w:num>
  <w:num w:numId="2" w16cid:durableId="1172909773">
    <w:abstractNumId w:val="20"/>
  </w:num>
  <w:num w:numId="3" w16cid:durableId="1527333094">
    <w:abstractNumId w:val="42"/>
  </w:num>
  <w:num w:numId="4" w16cid:durableId="92481050">
    <w:abstractNumId w:val="22"/>
  </w:num>
  <w:num w:numId="5" w16cid:durableId="1979260067">
    <w:abstractNumId w:val="37"/>
  </w:num>
  <w:num w:numId="6" w16cid:durableId="111287399">
    <w:abstractNumId w:val="18"/>
  </w:num>
  <w:num w:numId="7" w16cid:durableId="1368528842">
    <w:abstractNumId w:val="3"/>
  </w:num>
  <w:num w:numId="8" w16cid:durableId="253782846">
    <w:abstractNumId w:val="24"/>
  </w:num>
  <w:num w:numId="9" w16cid:durableId="1008559719">
    <w:abstractNumId w:val="5"/>
  </w:num>
  <w:num w:numId="10" w16cid:durableId="1137651491">
    <w:abstractNumId w:val="39"/>
  </w:num>
  <w:num w:numId="11" w16cid:durableId="247076607">
    <w:abstractNumId w:val="36"/>
  </w:num>
  <w:num w:numId="12" w16cid:durableId="1230309351">
    <w:abstractNumId w:val="40"/>
  </w:num>
  <w:num w:numId="13" w16cid:durableId="361368534">
    <w:abstractNumId w:val="28"/>
  </w:num>
  <w:num w:numId="14" w16cid:durableId="1129319331">
    <w:abstractNumId w:val="13"/>
  </w:num>
  <w:num w:numId="15" w16cid:durableId="1511025283">
    <w:abstractNumId w:val="41"/>
  </w:num>
  <w:num w:numId="16" w16cid:durableId="884756138">
    <w:abstractNumId w:val="29"/>
  </w:num>
  <w:num w:numId="17" w16cid:durableId="1191260756">
    <w:abstractNumId w:val="1"/>
  </w:num>
  <w:num w:numId="18" w16cid:durableId="230702327">
    <w:abstractNumId w:val="30"/>
  </w:num>
  <w:num w:numId="19" w16cid:durableId="1213812576">
    <w:abstractNumId w:val="45"/>
  </w:num>
  <w:num w:numId="20" w16cid:durableId="1161119539">
    <w:abstractNumId w:val="31"/>
  </w:num>
  <w:num w:numId="21" w16cid:durableId="1959682160">
    <w:abstractNumId w:val="10"/>
  </w:num>
  <w:num w:numId="22" w16cid:durableId="1453405543">
    <w:abstractNumId w:val="27"/>
  </w:num>
  <w:num w:numId="23" w16cid:durableId="820192739">
    <w:abstractNumId w:val="35"/>
  </w:num>
  <w:num w:numId="24" w16cid:durableId="630131977">
    <w:abstractNumId w:val="38"/>
  </w:num>
  <w:num w:numId="25" w16cid:durableId="2066097524">
    <w:abstractNumId w:val="8"/>
  </w:num>
  <w:num w:numId="26" w16cid:durableId="1886406548">
    <w:abstractNumId w:val="14"/>
  </w:num>
  <w:num w:numId="27" w16cid:durableId="2140953806">
    <w:abstractNumId w:val="44"/>
  </w:num>
  <w:num w:numId="28" w16cid:durableId="1321499158">
    <w:abstractNumId w:val="2"/>
  </w:num>
  <w:num w:numId="29" w16cid:durableId="383136290">
    <w:abstractNumId w:val="11"/>
  </w:num>
  <w:num w:numId="30" w16cid:durableId="150370419">
    <w:abstractNumId w:val="0"/>
  </w:num>
  <w:num w:numId="31" w16cid:durableId="1538424265">
    <w:abstractNumId w:val="26"/>
  </w:num>
  <w:num w:numId="32" w16cid:durableId="1668433521">
    <w:abstractNumId w:val="16"/>
  </w:num>
  <w:num w:numId="33" w16cid:durableId="866135922">
    <w:abstractNumId w:val="21"/>
  </w:num>
  <w:num w:numId="34" w16cid:durableId="1601908892">
    <w:abstractNumId w:val="7"/>
  </w:num>
  <w:num w:numId="35" w16cid:durableId="504710608">
    <w:abstractNumId w:val="32"/>
  </w:num>
  <w:num w:numId="36" w16cid:durableId="949363595">
    <w:abstractNumId w:val="19"/>
  </w:num>
  <w:num w:numId="37" w16cid:durableId="1435594655">
    <w:abstractNumId w:val="33"/>
  </w:num>
  <w:num w:numId="38" w16cid:durableId="879052799">
    <w:abstractNumId w:val="25"/>
  </w:num>
  <w:num w:numId="39" w16cid:durableId="1434983688">
    <w:abstractNumId w:val="12"/>
  </w:num>
  <w:num w:numId="40" w16cid:durableId="360666004">
    <w:abstractNumId w:val="23"/>
  </w:num>
  <w:num w:numId="41" w16cid:durableId="1209026486">
    <w:abstractNumId w:val="15"/>
  </w:num>
  <w:num w:numId="42" w16cid:durableId="1880555895">
    <w:abstractNumId w:val="17"/>
  </w:num>
  <w:num w:numId="43" w16cid:durableId="1532648624">
    <w:abstractNumId w:val="9"/>
  </w:num>
  <w:num w:numId="44" w16cid:durableId="1302883796">
    <w:abstractNumId w:val="43"/>
  </w:num>
  <w:num w:numId="45" w16cid:durableId="1674144016">
    <w:abstractNumId w:val="6"/>
  </w:num>
  <w:num w:numId="46" w16cid:durableId="656691816">
    <w:abstractNumId w:val="4"/>
  </w:num>
  <w:num w:numId="47" w16cid:durableId="6835743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FEE"/>
    <w:rsid w:val="00036F18"/>
    <w:rsid w:val="001C36AB"/>
    <w:rsid w:val="001E5823"/>
    <w:rsid w:val="00236697"/>
    <w:rsid w:val="0027075D"/>
    <w:rsid w:val="00337165"/>
    <w:rsid w:val="003B1300"/>
    <w:rsid w:val="004078CF"/>
    <w:rsid w:val="00445452"/>
    <w:rsid w:val="004521FF"/>
    <w:rsid w:val="00466996"/>
    <w:rsid w:val="004736C1"/>
    <w:rsid w:val="00482915"/>
    <w:rsid w:val="004A17BB"/>
    <w:rsid w:val="004C0AE0"/>
    <w:rsid w:val="00525D14"/>
    <w:rsid w:val="005402E1"/>
    <w:rsid w:val="00555DFB"/>
    <w:rsid w:val="00570F38"/>
    <w:rsid w:val="005C4324"/>
    <w:rsid w:val="005C466C"/>
    <w:rsid w:val="005D6593"/>
    <w:rsid w:val="00613544"/>
    <w:rsid w:val="00671265"/>
    <w:rsid w:val="006A13AA"/>
    <w:rsid w:val="006F4439"/>
    <w:rsid w:val="00722B30"/>
    <w:rsid w:val="007B3838"/>
    <w:rsid w:val="008266D2"/>
    <w:rsid w:val="008D4D05"/>
    <w:rsid w:val="008F0D01"/>
    <w:rsid w:val="00941571"/>
    <w:rsid w:val="009A1396"/>
    <w:rsid w:val="009C0603"/>
    <w:rsid w:val="00A9529D"/>
    <w:rsid w:val="00BA5B5E"/>
    <w:rsid w:val="00C551F3"/>
    <w:rsid w:val="00C84C84"/>
    <w:rsid w:val="00D105D8"/>
    <w:rsid w:val="00D1499C"/>
    <w:rsid w:val="00D70618"/>
    <w:rsid w:val="00D97C9D"/>
    <w:rsid w:val="00EB1FEE"/>
    <w:rsid w:val="00ED36C3"/>
    <w:rsid w:val="00F15276"/>
    <w:rsid w:val="00F4709E"/>
    <w:rsid w:val="00F7713E"/>
    <w:rsid w:val="00F86269"/>
    <w:rsid w:val="00FD1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39B69"/>
  <w15:docId w15:val="{B358FBBA-6487-46DE-9DE6-C5847C14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after="120"/>
    </w:pPr>
    <w:rPr>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customStyle="1" w:styleId="BodySectionSub">
    <w:name w:val="Body Section (Sub)"/>
    <w:next w:val="Normal"/>
    <w:pPr>
      <w:overflowPunct w:val="0"/>
      <w:autoSpaceDE w:val="0"/>
      <w:autoSpaceDN w:val="0"/>
      <w:adjustRightInd w:val="0"/>
      <w:spacing w:before="120"/>
      <w:ind w:left="1361"/>
      <w:textAlignment w:val="baseline"/>
    </w:pPr>
    <w:rPr>
      <w:sz w:val="24"/>
      <w:lang w:eastAsia="en-US"/>
    </w:rPr>
  </w:style>
  <w:style w:type="paragraph" w:customStyle="1" w:styleId="DraftHeading3">
    <w:name w:val="Draft Heading 3"/>
    <w:basedOn w:val="Normal"/>
    <w:next w:val="Normal"/>
    <w:pPr>
      <w:overflowPunct w:val="0"/>
      <w:autoSpaceDE w:val="0"/>
      <w:autoSpaceDN w:val="0"/>
      <w:adjustRightInd w:val="0"/>
      <w:spacing w:before="120"/>
      <w:textAlignment w:val="baseline"/>
    </w:pPr>
    <w:rPr>
      <w:szCs w:val="20"/>
    </w:rPr>
  </w:style>
  <w:style w:type="character" w:customStyle="1" w:styleId="Heading1Char">
    <w:name w:val="Heading 1 Char"/>
    <w:link w:val="Heading1"/>
    <w:rPr>
      <w:b/>
      <w:bCs/>
      <w:sz w:val="24"/>
      <w:szCs w:val="24"/>
      <w:lang w:eastAsia="en-US"/>
    </w:rPr>
  </w:style>
  <w:style w:type="character" w:customStyle="1" w:styleId="HTMLPreformattedChar">
    <w:name w:val="HTML Preformatted Char"/>
    <w:link w:val="HTMLPreformatted"/>
    <w:uiPriority w:val="99"/>
    <w:rPr>
      <w:rFonts w:ascii="Courier New" w:hAnsi="Courier New" w:cs="Courier New"/>
    </w:rPr>
  </w:style>
  <w:style w:type="paragraph" w:styleId="FootnoteText">
    <w:name w:val="footnote text"/>
    <w:basedOn w:val="Normal"/>
    <w:link w:val="FootnoteTextChar"/>
    <w:rPr>
      <w:sz w:val="20"/>
      <w:szCs w:val="20"/>
      <w:lang w:eastAsia="en-AU"/>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styleId="UnresolvedMention">
    <w:name w:val="Unresolved Mention"/>
    <w:basedOn w:val="DefaultParagraphFont"/>
    <w:uiPriority w:val="99"/>
    <w:semiHidden/>
    <w:unhideWhenUsed/>
    <w:rsid w:val="006F4439"/>
    <w:rPr>
      <w:color w:val="605E5C"/>
      <w:shd w:val="clear" w:color="auto" w:fill="E1DFDD"/>
    </w:rPr>
  </w:style>
  <w:style w:type="paragraph" w:styleId="Revision">
    <w:name w:val="Revision"/>
    <w:hidden/>
    <w:uiPriority w:val="99"/>
    <w:semiHidden/>
    <w:rsid w:val="00525D1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1490">
      <w:bodyDiv w:val="1"/>
      <w:marLeft w:val="0"/>
      <w:marRight w:val="0"/>
      <w:marTop w:val="0"/>
      <w:marBottom w:val="0"/>
      <w:divBdr>
        <w:top w:val="none" w:sz="0" w:space="0" w:color="auto"/>
        <w:left w:val="none" w:sz="0" w:space="0" w:color="auto"/>
        <w:bottom w:val="none" w:sz="0" w:space="0" w:color="auto"/>
        <w:right w:val="none" w:sz="0" w:space="0" w:color="auto"/>
      </w:divBdr>
    </w:div>
    <w:div w:id="10135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vsbc.vic.gov.a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sbc.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sb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2DD16A8C14771D49BA5E952E0FE46776" ma:contentTypeVersion="31" ma:contentTypeDescription="DEDJTR Document" ma:contentTypeScope="" ma:versionID="bac074f14e17e68f2b8f95bd1f2085d4">
  <xsd:schema xmlns:xsd="http://www.w3.org/2001/XMLSchema" xmlns:xs="http://www.w3.org/2001/XMLSchema" xmlns:p="http://schemas.microsoft.com/office/2006/metadata/properties" xmlns:ns2="72567383-1e26-4692-bdad-5f5be69e1590" xmlns:ns3="9ceedb1c-f687-4c7d-b70d-d3664efed103" xmlns:ns4="f62bdbb7-d386-4fea-ab9c-281c891cbff1" targetNamespace="http://schemas.microsoft.com/office/2006/metadata/properties" ma:root="true" ma:fieldsID="e0e3a01e0e8a29701bb11c65efa3df1e" ns2:_="" ns3:_="" ns4:_="">
    <xsd:import namespace="72567383-1e26-4692-bdad-5f5be69e1590"/>
    <xsd:import namespace="9ceedb1c-f687-4c7d-b70d-d3664efed103"/>
    <xsd:import namespace="f62bdbb7-d386-4fea-ab9c-281c891cbff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Users" minOccurs="0"/>
                <xsd:element ref="ns3:SharedWithDetails" minOccurs="0"/>
                <xsd:element ref="ns4:MediaLengthInSeconds" minOccurs="0"/>
                <xsd:element ref="ns4:Dat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edb1c-f687-4c7d-b70d-d3664efed10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dd991c-cc74-4093-8b47-b8bbc5a6296b}" ma:internalName="TaxCatchAll" ma:showField="CatchAllData"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dd991c-cc74-4093-8b47-b8bbc5a6296b}" ma:internalName="TaxCatchAllLabel" ma:readOnly="true" ma:showField="CatchAllDataLabel"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bdbb7-d386-4fea-ab9c-281c891cbff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Date" ma:index="33" nillable="true" ma:displayName="Date" ma:format="DateTime" ma:internalName="Date">
      <xsd:simpleType>
        <xsd:restriction base="dms:DateTim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9ceedb1c-f687-4c7d-b70d-d3664efed103">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Small Business Commission</TermName>
          <TermId xmlns="http://schemas.microsoft.com/office/infopath/2007/PartnerControls">c496d8bd-8e1d-4703-8b98-f3d591901429</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Date xmlns="f62bdbb7-d386-4fea-ab9c-281c891cbff1" xsi:nil="true"/>
    <lcf76f155ced4ddcb4097134ff3c332f xmlns="f62bdbb7-d386-4fea-ab9c-281c891cbf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DEAC4-1F6B-4BA1-BC61-75D7899D1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9ceedb1c-f687-4c7d-b70d-d3664efed103"/>
    <ds:schemaRef ds:uri="f62bdbb7-d386-4fea-ab9c-281c891cb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44C36-BF02-4373-967D-C1D5D6E21353}">
  <ds:schemaRefs>
    <ds:schemaRef ds:uri="http://schemas.microsoft.com/office/2006/metadata/properties"/>
    <ds:schemaRef ds:uri="http://schemas.microsoft.com/office/infopath/2007/PartnerControls"/>
    <ds:schemaRef ds:uri="72567383-1e26-4692-bdad-5f5be69e1590"/>
    <ds:schemaRef ds:uri="9ceedb1c-f687-4c7d-b70d-d3664efed103"/>
    <ds:schemaRef ds:uri="f62bdbb7-d386-4fea-ab9c-281c891cbff1"/>
  </ds:schemaRefs>
</ds:datastoreItem>
</file>

<file path=customXml/itemProps3.xml><?xml version="1.0" encoding="utf-8"?>
<ds:datastoreItem xmlns:ds="http://schemas.openxmlformats.org/officeDocument/2006/customXml" ds:itemID="{34D24613-F297-4F16-AFE4-3D33321DEF95}">
  <ds:schemaRefs>
    <ds:schemaRef ds:uri="http://schemas.microsoft.com/sharepoint/v3/contenttype/forms"/>
  </ds:schemaRefs>
</ds:datastoreItem>
</file>

<file path=customXml/itemProps4.xml><?xml version="1.0" encoding="utf-8"?>
<ds:datastoreItem xmlns:ds="http://schemas.openxmlformats.org/officeDocument/2006/customXml" ds:itemID="{155C78C3-09F0-41D1-B0F2-C5410B95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1682</Words>
  <Characters>9589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Information sheet outgoings July 2017</vt:lpstr>
    </vt:vector>
  </TitlesOfParts>
  <Company>IIRD</Company>
  <LinksUpToDate>false</LinksUpToDate>
  <CharactersWithSpaces>11249</CharactersWithSpaces>
  <SharedDoc>false</SharedDoc>
  <HLinks>
    <vt:vector size="60" baseType="variant">
      <vt:variant>
        <vt:i4>7405679</vt:i4>
      </vt:variant>
      <vt:variant>
        <vt:i4>27</vt:i4>
      </vt:variant>
      <vt:variant>
        <vt:i4>0</vt:i4>
      </vt:variant>
      <vt:variant>
        <vt:i4>5</vt:i4>
      </vt:variant>
      <vt:variant>
        <vt:lpwstr>http://www.sbc.vic.gov.au/</vt:lpwstr>
      </vt:variant>
      <vt:variant>
        <vt:lpwstr/>
      </vt:variant>
      <vt:variant>
        <vt:i4>2752577</vt:i4>
      </vt:variant>
      <vt:variant>
        <vt:i4>24</vt:i4>
      </vt:variant>
      <vt:variant>
        <vt:i4>0</vt:i4>
      </vt:variant>
      <vt:variant>
        <vt:i4>5</vt:i4>
      </vt:variant>
      <vt:variant>
        <vt:lpwstr>http://www.austlii.edu.au/au/legis/vic/consol_act/rla2003135/s3.html</vt:lpwstr>
      </vt:variant>
      <vt:variant>
        <vt:lpwstr>landlord</vt:lpwstr>
      </vt:variant>
      <vt:variant>
        <vt:i4>2752577</vt:i4>
      </vt:variant>
      <vt:variant>
        <vt:i4>21</vt:i4>
      </vt:variant>
      <vt:variant>
        <vt:i4>0</vt:i4>
      </vt:variant>
      <vt:variant>
        <vt:i4>5</vt:i4>
      </vt:variant>
      <vt:variant>
        <vt:lpwstr>http://www.austlii.edu.au/au/legis/vic/consol_act/rla2003135/s3.html</vt:lpwstr>
      </vt:variant>
      <vt:variant>
        <vt:lpwstr>landlord</vt:lpwstr>
      </vt:variant>
      <vt:variant>
        <vt:i4>2752577</vt:i4>
      </vt:variant>
      <vt:variant>
        <vt:i4>18</vt:i4>
      </vt:variant>
      <vt:variant>
        <vt:i4>0</vt:i4>
      </vt:variant>
      <vt:variant>
        <vt:i4>5</vt:i4>
      </vt:variant>
      <vt:variant>
        <vt:lpwstr>http://www.austlii.edu.au/au/legis/vic/consol_act/rla2003135/s3.html</vt:lpwstr>
      </vt:variant>
      <vt:variant>
        <vt:lpwstr>landlord</vt:lpwstr>
      </vt:variant>
      <vt:variant>
        <vt:i4>5505065</vt:i4>
      </vt:variant>
      <vt:variant>
        <vt:i4>15</vt:i4>
      </vt:variant>
      <vt:variant>
        <vt:i4>0</vt:i4>
      </vt:variant>
      <vt:variant>
        <vt:i4>5</vt:i4>
      </vt:variant>
      <vt:variant>
        <vt:lpwstr>http://www.austlii.edu.au/au/legis/vic/consol_act/rla2003135/s3.html</vt:lpwstr>
      </vt:variant>
      <vt:variant>
        <vt:lpwstr>tenant</vt:lpwstr>
      </vt:variant>
      <vt:variant>
        <vt:i4>5505065</vt:i4>
      </vt:variant>
      <vt:variant>
        <vt:i4>12</vt:i4>
      </vt:variant>
      <vt:variant>
        <vt:i4>0</vt:i4>
      </vt:variant>
      <vt:variant>
        <vt:i4>5</vt:i4>
      </vt:variant>
      <vt:variant>
        <vt:lpwstr>http://www.austlii.edu.au/au/legis/vic/consol_act/rla2003135/s3.html</vt:lpwstr>
      </vt:variant>
      <vt:variant>
        <vt:lpwstr>tenant</vt:lpwstr>
      </vt:variant>
      <vt:variant>
        <vt:i4>2752577</vt:i4>
      </vt:variant>
      <vt:variant>
        <vt:i4>9</vt:i4>
      </vt:variant>
      <vt:variant>
        <vt:i4>0</vt:i4>
      </vt:variant>
      <vt:variant>
        <vt:i4>5</vt:i4>
      </vt:variant>
      <vt:variant>
        <vt:lpwstr>http://www.austlii.edu.au/au/legis/vic/consol_act/rla2003135/s3.html</vt:lpwstr>
      </vt:variant>
      <vt:variant>
        <vt:lpwstr>landlord</vt:lpwstr>
      </vt:variant>
      <vt:variant>
        <vt:i4>3276880</vt:i4>
      </vt:variant>
      <vt:variant>
        <vt:i4>6</vt:i4>
      </vt:variant>
      <vt:variant>
        <vt:i4>0</vt:i4>
      </vt:variant>
      <vt:variant>
        <vt:i4>5</vt:i4>
      </vt:variant>
      <vt:variant>
        <vt:lpwstr>http://www.austlii.edu.au/au/legis/vic/consol_act/rla2003135/s3.html</vt:lpwstr>
      </vt:variant>
      <vt:variant>
        <vt:lpwstr>lease</vt:lpwstr>
      </vt:variant>
      <vt:variant>
        <vt:i4>5505065</vt:i4>
      </vt:variant>
      <vt:variant>
        <vt:i4>3</vt:i4>
      </vt:variant>
      <vt:variant>
        <vt:i4>0</vt:i4>
      </vt:variant>
      <vt:variant>
        <vt:i4>5</vt:i4>
      </vt:variant>
      <vt:variant>
        <vt:lpwstr>http://www.austlii.edu.au/au/legis/vic/consol_act/rla2003135/s3.html</vt:lpwstr>
      </vt:variant>
      <vt:variant>
        <vt:lpwstr>tenant</vt:lpwstr>
      </vt:variant>
      <vt:variant>
        <vt:i4>5505065</vt:i4>
      </vt:variant>
      <vt:variant>
        <vt:i4>0</vt:i4>
      </vt:variant>
      <vt:variant>
        <vt:i4>0</vt:i4>
      </vt:variant>
      <vt:variant>
        <vt:i4>5</vt:i4>
      </vt:variant>
      <vt:variant>
        <vt:lpwstr>http://www.austlii.edu.au/au/legis/vic/consol_act/rla2003135/s3.html</vt:lpwstr>
      </vt:variant>
      <vt:variant>
        <vt:lpwstr>tenant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outgoings</dc:title>
  <dc:creator>schrammm</dc:creator>
  <cp:lastModifiedBy>Cate L Pratt (VSBC)</cp:lastModifiedBy>
  <cp:revision>2</cp:revision>
  <cp:lastPrinted>2013-08-16T00:35:00Z</cp:lastPrinted>
  <dcterms:created xsi:type="dcterms:W3CDTF">2024-03-25T04:15:00Z</dcterms:created>
  <dcterms:modified xsi:type="dcterms:W3CDTF">2024-03-25T04:15:00Z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ooterType">
    <vt:lpwstr>1</vt:lpwstr>
  </property>
  <property fmtid="{D5CDD505-2E9C-101B-9397-08002B2CF9AE}" pid="4" name="DocumentID">
    <vt:lpwstr>ME_107250939_3 (W2007)</vt:lpwstr>
  </property>
  <property fmtid="{D5CDD505-2E9C-101B-9397-08002B2CF9AE}" pid="5" name="ContentTypeId">
    <vt:lpwstr>0x010100611F6414DFB111E7BA88F9DF1743E317002DD16A8C14771D49BA5E952E0FE46776</vt:lpwstr>
  </property>
  <property fmtid="{D5CDD505-2E9C-101B-9397-08002B2CF9AE}" pid="6" name="DEDJTRDivision">
    <vt:lpwstr>1;#Employment Investment and Trade|55ce1999-68b6-4f37-bdce-009ad410cd2a</vt:lpwstr>
  </property>
  <property fmtid="{D5CDD505-2E9C-101B-9397-08002B2CF9AE}" pid="7" name="Order">
    <vt:r8>100</vt:r8>
  </property>
  <property fmtid="{D5CDD505-2E9C-101B-9397-08002B2CF9AE}" pid="8" name="DEDJTRGroup">
    <vt:lpwstr>2;#Small Business Commission|c496d8bd-8e1d-4703-8b98-f3d591901429</vt:lpwstr>
  </property>
  <property fmtid="{D5CDD505-2E9C-101B-9397-08002B2CF9AE}" pid="9" name="DEDJTRSecurityClassification">
    <vt:lpwstr/>
  </property>
  <property fmtid="{D5CDD505-2E9C-101B-9397-08002B2CF9AE}" pid="10" name="DEDJTRBranch">
    <vt:lpwstr/>
  </property>
  <property fmtid="{D5CDD505-2E9C-101B-9397-08002B2CF9AE}" pid="11" name="DEDJTRSection">
    <vt:lpwstr/>
  </property>
  <property fmtid="{D5CDD505-2E9C-101B-9397-08002B2CF9AE}" pid="12" name="MediaServiceImageTags">
    <vt:lpwstr/>
  </property>
  <property fmtid="{D5CDD505-2E9C-101B-9397-08002B2CF9AE}" pid="13" name="GrammarlyDocumentId">
    <vt:lpwstr>c450cd3466561f528b99b1585b5b3da1d420202f437cc306b331cd38579b0e42</vt:lpwstr>
  </property>
  <property fmtid="{D5CDD505-2E9C-101B-9397-08002B2CF9AE}" pid="14" name="MSIP_Label_d00a4df9-c942-4b09-b23a-6c1023f6de27_Enabled">
    <vt:lpwstr>true</vt:lpwstr>
  </property>
  <property fmtid="{D5CDD505-2E9C-101B-9397-08002B2CF9AE}" pid="15" name="MSIP_Label_d00a4df9-c942-4b09-b23a-6c1023f6de27_SetDate">
    <vt:lpwstr>2024-03-25T04:15:38Z</vt:lpwstr>
  </property>
  <property fmtid="{D5CDD505-2E9C-101B-9397-08002B2CF9AE}" pid="16" name="MSIP_Label_d00a4df9-c942-4b09-b23a-6c1023f6de27_Method">
    <vt:lpwstr>Privileged</vt:lpwstr>
  </property>
  <property fmtid="{D5CDD505-2E9C-101B-9397-08002B2CF9AE}" pid="17" name="MSIP_Label_d00a4df9-c942-4b09-b23a-6c1023f6de27_Name">
    <vt:lpwstr>Official (DJPR)</vt:lpwstr>
  </property>
  <property fmtid="{D5CDD505-2E9C-101B-9397-08002B2CF9AE}" pid="18" name="MSIP_Label_d00a4df9-c942-4b09-b23a-6c1023f6de27_SiteId">
    <vt:lpwstr>722ea0be-3e1c-4b11-ad6f-9401d6856e24</vt:lpwstr>
  </property>
  <property fmtid="{D5CDD505-2E9C-101B-9397-08002B2CF9AE}" pid="19" name="MSIP_Label_d00a4df9-c942-4b09-b23a-6c1023f6de27_ActionId">
    <vt:lpwstr>9f45df5c-beea-425f-b7df-ac37caf29950</vt:lpwstr>
  </property>
  <property fmtid="{D5CDD505-2E9C-101B-9397-08002B2CF9AE}" pid="20" name="MSIP_Label_d00a4df9-c942-4b09-b23a-6c1023f6de27_ContentBits">
    <vt:lpwstr>3</vt:lpwstr>
  </property>
</Properties>
</file>