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5922" w14:textId="206B585B" w:rsidR="00E36B2D" w:rsidRPr="00E23339" w:rsidRDefault="007D0E5B" w:rsidP="00E36B2D">
      <w:pPr>
        <w:rPr>
          <w:rFonts w:ascii="Arial" w:hAnsi="Arial" w:cs="Arial"/>
          <w:color w:val="0081C6"/>
          <w:sz w:val="40"/>
          <w:szCs w:val="40"/>
        </w:rPr>
      </w:pPr>
      <w:r>
        <w:rPr>
          <w:rFonts w:ascii="Arial" w:hAnsi="Arial" w:cs="Arial"/>
          <w:color w:val="0081C6"/>
          <w:sz w:val="40"/>
          <w:szCs w:val="40"/>
        </w:rPr>
        <w:t>OPERATI</w:t>
      </w:r>
      <w:r w:rsidRPr="007D0E5B">
        <w:rPr>
          <w:rFonts w:ascii="Arial" w:hAnsi="Arial" w:cs="Arial"/>
          <w:color w:val="0081C6"/>
          <w:sz w:val="40"/>
          <w:szCs w:val="40"/>
        </w:rPr>
        <w:t>ONA</w:t>
      </w:r>
      <w:r>
        <w:rPr>
          <w:rFonts w:ascii="Arial" w:hAnsi="Arial" w:cs="Arial"/>
          <w:color w:val="0081C6"/>
          <w:sz w:val="40"/>
          <w:szCs w:val="40"/>
        </w:rPr>
        <w:t>L GUIDELINES</w:t>
      </w:r>
    </w:p>
    <w:p w14:paraId="0C396DD1" w14:textId="52D09B44" w:rsidR="00220AA5" w:rsidRPr="007D0E5B" w:rsidRDefault="007D0E5B" w:rsidP="00E54AEC">
      <w:pPr>
        <w:spacing w:before="120" w:after="120" w:line="264" w:lineRule="auto"/>
        <w:rPr>
          <w:rFonts w:ascii="Arial" w:hAnsi="Arial" w:cs="Arial"/>
          <w:b/>
          <w:bCs/>
        </w:rPr>
      </w:pPr>
      <w:r w:rsidRPr="007D0E5B">
        <w:rPr>
          <w:rFonts w:ascii="Arial" w:hAnsi="Arial" w:cs="Arial"/>
          <w:b/>
          <w:bCs/>
        </w:rPr>
        <w:t xml:space="preserve">Determining whether a party to a dispute has unreasonably refused to participate in alternative dispute resolution (ADR) so that a certificate may be issued under s 12(3) of the </w:t>
      </w:r>
      <w:r w:rsidRPr="007D0E5B">
        <w:rPr>
          <w:rFonts w:ascii="Arial" w:hAnsi="Arial" w:cs="Arial"/>
          <w:b/>
          <w:bCs/>
          <w:i/>
          <w:iCs/>
        </w:rPr>
        <w:t>Small Business Commission Act 2017</w:t>
      </w:r>
      <w:r w:rsidRPr="007D0E5B">
        <w:rPr>
          <w:rFonts w:ascii="Arial" w:hAnsi="Arial" w:cs="Arial"/>
          <w:b/>
          <w:bCs/>
        </w:rPr>
        <w:t xml:space="preserve"> </w:t>
      </w:r>
    </w:p>
    <w:p w14:paraId="78460B76" w14:textId="597D03F5" w:rsidR="0013110A" w:rsidRPr="000E11C0" w:rsidRDefault="007D0E5B" w:rsidP="00E54AEC">
      <w:pPr>
        <w:spacing w:before="120" w:after="120" w:line="264" w:lineRule="auto"/>
        <w:rPr>
          <w:rFonts w:ascii="Arial" w:hAnsi="Arial" w:cs="Arial"/>
          <w:b/>
          <w:sz w:val="21"/>
          <w:szCs w:val="21"/>
        </w:rPr>
      </w:pPr>
      <w:r w:rsidRPr="007D0E5B">
        <w:rPr>
          <w:rFonts w:ascii="Arial" w:hAnsi="Arial" w:cs="Arial"/>
          <w:b/>
          <w:sz w:val="21"/>
          <w:szCs w:val="21"/>
        </w:rPr>
        <w:t xml:space="preserve">Note: These </w:t>
      </w:r>
      <w:r w:rsidRPr="007D0E5B">
        <w:rPr>
          <w:rFonts w:ascii="Arial" w:hAnsi="Arial" w:cs="Arial"/>
          <w:b/>
          <w:i/>
          <w:iCs/>
          <w:sz w:val="21"/>
          <w:szCs w:val="21"/>
        </w:rPr>
        <w:t>Guidelines</w:t>
      </w:r>
      <w:r w:rsidRPr="007D0E5B">
        <w:rPr>
          <w:rFonts w:ascii="Arial" w:hAnsi="Arial" w:cs="Arial"/>
          <w:b/>
          <w:sz w:val="21"/>
          <w:szCs w:val="21"/>
        </w:rPr>
        <w:t xml:space="preserve"> are subject to change from time to time. These </w:t>
      </w:r>
      <w:r w:rsidRPr="007D0E5B">
        <w:rPr>
          <w:rFonts w:ascii="Arial" w:hAnsi="Arial" w:cs="Arial"/>
          <w:b/>
          <w:i/>
          <w:iCs/>
          <w:sz w:val="21"/>
          <w:szCs w:val="21"/>
        </w:rPr>
        <w:t>Guidelines</w:t>
      </w:r>
      <w:r w:rsidRPr="007D0E5B">
        <w:rPr>
          <w:rFonts w:ascii="Arial" w:hAnsi="Arial" w:cs="Arial"/>
          <w:b/>
          <w:sz w:val="21"/>
          <w:szCs w:val="21"/>
        </w:rPr>
        <w:t xml:space="preserve"> are current at 1 July 2017. </w:t>
      </w:r>
    </w:p>
    <w:p w14:paraId="1972FEA8" w14:textId="77777777" w:rsidR="007D0E5B" w:rsidRPr="00F52594" w:rsidRDefault="007D0E5B" w:rsidP="00F52594">
      <w:pPr>
        <w:spacing w:before="240" w:after="120" w:line="264" w:lineRule="auto"/>
        <w:rPr>
          <w:rFonts w:ascii="Arial" w:hAnsi="Arial" w:cs="Arial"/>
        </w:rPr>
      </w:pPr>
      <w:r w:rsidRPr="00F52594">
        <w:rPr>
          <w:rFonts w:ascii="Arial" w:hAnsi="Arial" w:cs="Arial"/>
          <w:color w:val="0081C6"/>
        </w:rPr>
        <w:t>Purpose</w:t>
      </w:r>
      <w:r w:rsidRPr="00F52594">
        <w:rPr>
          <w:rFonts w:ascii="Arial" w:hAnsi="Arial" w:cs="Arial"/>
        </w:rPr>
        <w:t xml:space="preserve"> </w:t>
      </w:r>
    </w:p>
    <w:p w14:paraId="6BA033FE"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These </w:t>
      </w:r>
      <w:r w:rsidRPr="007D0E5B">
        <w:rPr>
          <w:rFonts w:ascii="Arial" w:hAnsi="Arial" w:cs="Arial"/>
          <w:i/>
          <w:iCs/>
          <w:sz w:val="21"/>
          <w:szCs w:val="21"/>
        </w:rPr>
        <w:t>Guidelines</w:t>
      </w:r>
      <w:r w:rsidRPr="007D0E5B">
        <w:rPr>
          <w:rFonts w:ascii="Arial" w:hAnsi="Arial" w:cs="Arial"/>
          <w:sz w:val="21"/>
          <w:szCs w:val="21"/>
        </w:rPr>
        <w:t xml:space="preserve"> outline the process followed by the Victorian Small Business Commissioner (VSBC) in exercising her power to certify that a party to a dispute has unreasonably refused to participate in alternative dispute resolution (ADR) under the </w:t>
      </w:r>
      <w:r w:rsidRPr="007D0E5B">
        <w:rPr>
          <w:rFonts w:ascii="Arial" w:hAnsi="Arial" w:cs="Arial"/>
          <w:i/>
          <w:iCs/>
          <w:sz w:val="21"/>
          <w:szCs w:val="21"/>
        </w:rPr>
        <w:t>Small Business Commission Act 2017</w:t>
      </w:r>
      <w:r w:rsidRPr="007D0E5B">
        <w:rPr>
          <w:rFonts w:ascii="Arial" w:hAnsi="Arial" w:cs="Arial"/>
          <w:sz w:val="21"/>
          <w:szCs w:val="21"/>
        </w:rPr>
        <w:t xml:space="preserve"> (Act). </w:t>
      </w:r>
    </w:p>
    <w:p w14:paraId="7BF7839E"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Such certificates may be admitted in evidence before the Victorian Civil and Administrative Tribunal (VCAT) or a court. Details of these certificates may also be published in the VSBC Annual Report. This Report is tabled in Parliament. </w:t>
      </w:r>
    </w:p>
    <w:p w14:paraId="61813769" w14:textId="77777777" w:rsidR="007D0E5B" w:rsidRPr="00F52594" w:rsidRDefault="007D0E5B" w:rsidP="00F52594">
      <w:pPr>
        <w:spacing w:before="240" w:after="120" w:line="264" w:lineRule="auto"/>
        <w:rPr>
          <w:rFonts w:ascii="Arial" w:hAnsi="Arial" w:cs="Arial"/>
        </w:rPr>
      </w:pPr>
      <w:r w:rsidRPr="00F52594">
        <w:rPr>
          <w:rFonts w:ascii="Arial" w:hAnsi="Arial" w:cs="Arial"/>
          <w:color w:val="0081C6"/>
        </w:rPr>
        <w:t>Application</w:t>
      </w:r>
      <w:r w:rsidRPr="00F52594">
        <w:rPr>
          <w:rFonts w:ascii="Arial" w:hAnsi="Arial" w:cs="Arial"/>
        </w:rPr>
        <w:t xml:space="preserve"> </w:t>
      </w:r>
    </w:p>
    <w:p w14:paraId="3537B074"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These </w:t>
      </w:r>
      <w:r w:rsidRPr="007D0E5B">
        <w:rPr>
          <w:rFonts w:ascii="Arial" w:hAnsi="Arial" w:cs="Arial"/>
          <w:i/>
          <w:iCs/>
          <w:sz w:val="21"/>
          <w:szCs w:val="21"/>
        </w:rPr>
        <w:t>Guidelines</w:t>
      </w:r>
      <w:r w:rsidRPr="007D0E5B">
        <w:rPr>
          <w:rFonts w:ascii="Arial" w:hAnsi="Arial" w:cs="Arial"/>
          <w:sz w:val="21"/>
          <w:szCs w:val="21"/>
        </w:rPr>
        <w:t xml:space="preserve"> apply to applications lodged with the VSBC under the Act on or after 1 May 2014. </w:t>
      </w:r>
    </w:p>
    <w:p w14:paraId="34792EE7" w14:textId="77777777" w:rsidR="007D0E5B" w:rsidRPr="00F52594" w:rsidRDefault="007D0E5B" w:rsidP="00F52594">
      <w:pPr>
        <w:spacing w:before="240" w:after="120" w:line="264" w:lineRule="auto"/>
        <w:rPr>
          <w:rFonts w:ascii="Arial" w:hAnsi="Arial" w:cs="Arial"/>
        </w:rPr>
      </w:pPr>
      <w:r w:rsidRPr="00F52594">
        <w:rPr>
          <w:rFonts w:ascii="Arial" w:hAnsi="Arial" w:cs="Arial"/>
          <w:color w:val="0081C6"/>
        </w:rPr>
        <w:t>Context</w:t>
      </w:r>
      <w:r w:rsidRPr="00F52594">
        <w:rPr>
          <w:rFonts w:ascii="Arial" w:hAnsi="Arial" w:cs="Arial"/>
        </w:rPr>
        <w:t xml:space="preserve"> </w:t>
      </w:r>
    </w:p>
    <w:p w14:paraId="280928D0"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 key role of the VSBC is to provide ADR services to small businesses in disputes with other businesses and with public entities, public service bodies, Councils, non-profit organisations, professional associations, educational institutions, industry bodies and certain special bodies within government. These disputes relate to unfair market practices and commercial dealings. ADR seeks to resolve the dispute through preliminary assistance or mediation that has been arranged by the VSBC. </w:t>
      </w:r>
    </w:p>
    <w:p w14:paraId="026F85B0" w14:textId="68C269F0"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Resolution of disputes through ADR avoids the cost and other adverse consequences of litigation. The VSBC ‘Avoid the Costs of Litigation’ Information Brochure, available at </w:t>
      </w:r>
      <w:hyperlink r:id="rId10" w:history="1">
        <w:r w:rsidR="005A3C50" w:rsidRPr="007D0E5B">
          <w:rPr>
            <w:rStyle w:val="Hyperlink"/>
            <w:rFonts w:cs="Arial"/>
            <w:sz w:val="21"/>
            <w:szCs w:val="21"/>
          </w:rPr>
          <w:t>www.vsbc.vic.gov.au</w:t>
        </w:r>
      </w:hyperlink>
      <w:r w:rsidRPr="007D0E5B">
        <w:rPr>
          <w:rFonts w:ascii="Arial" w:hAnsi="Arial" w:cs="Arial"/>
          <w:sz w:val="21"/>
          <w:szCs w:val="21"/>
        </w:rPr>
        <w:t xml:space="preserve">, provides results of a survey of businesses involved in litigation. </w:t>
      </w:r>
    </w:p>
    <w:p w14:paraId="0B68676A" w14:textId="2788797B"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 subsidised fee is payable by both parties for VSBC mediation services. Refer to the VSBC </w:t>
      </w:r>
      <w:r w:rsidRPr="007D0E5B">
        <w:rPr>
          <w:rFonts w:ascii="Arial" w:hAnsi="Arial" w:cs="Arial"/>
          <w:i/>
          <w:iCs/>
          <w:sz w:val="21"/>
          <w:szCs w:val="21"/>
        </w:rPr>
        <w:t>Guide to Mediation</w:t>
      </w:r>
      <w:r w:rsidRPr="007D0E5B">
        <w:rPr>
          <w:rFonts w:ascii="Arial" w:hAnsi="Arial" w:cs="Arial"/>
          <w:sz w:val="21"/>
          <w:szCs w:val="21"/>
        </w:rPr>
        <w:t xml:space="preserve"> for more information, available at </w:t>
      </w:r>
      <w:hyperlink r:id="rId11" w:history="1">
        <w:r w:rsidR="005A3C50" w:rsidRPr="007D0E5B">
          <w:rPr>
            <w:rStyle w:val="Hyperlink"/>
            <w:rFonts w:cs="Arial"/>
            <w:sz w:val="21"/>
            <w:szCs w:val="21"/>
          </w:rPr>
          <w:t>www.vsbc.vic.gov.au</w:t>
        </w:r>
      </w:hyperlink>
      <w:r w:rsidRPr="007D0E5B">
        <w:rPr>
          <w:rFonts w:ascii="Arial" w:hAnsi="Arial" w:cs="Arial"/>
          <w:sz w:val="21"/>
          <w:szCs w:val="21"/>
        </w:rPr>
        <w:t xml:space="preserve">. </w:t>
      </w:r>
    </w:p>
    <w:p w14:paraId="3F540302"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 VSBC does not deal with complaints that are trivial, vexatious, unlikely to be resolved through ADR or which could be more appropriately dealt with by a public entity, public service body or some other person. </w:t>
      </w:r>
    </w:p>
    <w:p w14:paraId="150448B9"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To assist the VSBC perform the role of providing ADR, the Act provides a range of powers, including to: </w:t>
      </w:r>
    </w:p>
    <w:p w14:paraId="6066A611" w14:textId="77777777" w:rsidR="007D0E5B" w:rsidRPr="007D0E5B" w:rsidRDefault="007D0E5B" w:rsidP="007D0E5B">
      <w:pPr>
        <w:numPr>
          <w:ilvl w:val="0"/>
          <w:numId w:val="7"/>
        </w:numPr>
        <w:spacing w:before="120" w:after="120" w:line="264" w:lineRule="auto"/>
        <w:rPr>
          <w:rFonts w:ascii="Arial" w:hAnsi="Arial" w:cs="Arial"/>
          <w:sz w:val="21"/>
          <w:szCs w:val="21"/>
        </w:rPr>
      </w:pPr>
      <w:r w:rsidRPr="007D0E5B">
        <w:rPr>
          <w:rFonts w:ascii="Arial" w:hAnsi="Arial" w:cs="Arial"/>
          <w:sz w:val="21"/>
          <w:szCs w:val="21"/>
        </w:rPr>
        <w:t xml:space="preserve">issue certificates certifying that a dispute is unlikely to be resolved by ADR, or that ADR has been attempted but has been unsuccessful (s 12(1)); </w:t>
      </w:r>
    </w:p>
    <w:p w14:paraId="24B36493" w14:textId="77777777" w:rsidR="007D0E5B" w:rsidRDefault="007D0E5B" w:rsidP="007D0E5B">
      <w:pPr>
        <w:numPr>
          <w:ilvl w:val="0"/>
          <w:numId w:val="7"/>
        </w:numPr>
        <w:spacing w:before="120" w:after="120" w:line="264" w:lineRule="auto"/>
        <w:rPr>
          <w:rFonts w:ascii="Arial" w:hAnsi="Arial" w:cs="Arial"/>
          <w:sz w:val="21"/>
          <w:szCs w:val="21"/>
        </w:rPr>
      </w:pPr>
      <w:r w:rsidRPr="007D0E5B">
        <w:rPr>
          <w:rFonts w:ascii="Arial" w:hAnsi="Arial" w:cs="Arial"/>
          <w:sz w:val="21"/>
          <w:szCs w:val="21"/>
        </w:rPr>
        <w:t xml:space="preserve">issue certificates certifying that a party has </w:t>
      </w:r>
      <w:r w:rsidRPr="007D0E5B">
        <w:rPr>
          <w:rFonts w:ascii="Arial" w:hAnsi="Arial" w:cs="Arial"/>
          <w:i/>
          <w:iCs/>
          <w:sz w:val="21"/>
          <w:szCs w:val="21"/>
        </w:rPr>
        <w:t>unreasonably</w:t>
      </w:r>
      <w:r w:rsidRPr="007D0E5B">
        <w:rPr>
          <w:rFonts w:ascii="Arial" w:hAnsi="Arial" w:cs="Arial"/>
          <w:sz w:val="21"/>
          <w:szCs w:val="21"/>
        </w:rPr>
        <w:t xml:space="preserve"> refused to participate in ADR (s 12(3)); and </w:t>
      </w:r>
    </w:p>
    <w:p w14:paraId="395BA373" w14:textId="7D864FE1" w:rsidR="007D0E5B" w:rsidRPr="007D0E5B" w:rsidRDefault="007D0E5B" w:rsidP="007D0E5B">
      <w:pPr>
        <w:numPr>
          <w:ilvl w:val="0"/>
          <w:numId w:val="7"/>
        </w:numPr>
        <w:spacing w:before="120" w:after="120" w:line="264" w:lineRule="auto"/>
        <w:rPr>
          <w:rFonts w:ascii="Arial" w:hAnsi="Arial" w:cs="Arial"/>
          <w:sz w:val="21"/>
          <w:szCs w:val="21"/>
        </w:rPr>
      </w:pPr>
      <w:r w:rsidRPr="007D0E5B">
        <w:rPr>
          <w:rFonts w:ascii="Arial" w:hAnsi="Arial" w:cs="Arial"/>
          <w:sz w:val="21"/>
          <w:szCs w:val="21"/>
        </w:rPr>
        <w:t xml:space="preserve">publish details of certificates issued for unreasonable refusal to participate, specifically the name of the parties which unreasonably refused to participate in ADR, in a report to </w:t>
      </w:r>
      <w:r w:rsidRPr="007D0E5B">
        <w:rPr>
          <w:rFonts w:ascii="Arial" w:hAnsi="Arial" w:cs="Arial"/>
          <w:sz w:val="21"/>
          <w:szCs w:val="21"/>
        </w:rPr>
        <w:lastRenderedPageBreak/>
        <w:t xml:space="preserve">the Minister (the Annual Report) (s 16(4)) for tabling in Parliament (s 16(3)). The Annual Report is published in hard copy format as well as on the VSBC website. </w:t>
      </w:r>
    </w:p>
    <w:p w14:paraId="0B9A32EB"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 certificate issued by the VSBC may be used as evidence in proceedings before VCAT or a court (s 12(4)). </w:t>
      </w:r>
    </w:p>
    <w:p w14:paraId="35A0276E"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These measures serve to encourage parties to participate in ADR and attempt to resolve their disputes cooperatively. </w:t>
      </w:r>
    </w:p>
    <w:p w14:paraId="5C157A6E" w14:textId="77777777" w:rsidR="007D0E5B" w:rsidRPr="00F52594" w:rsidRDefault="007D0E5B" w:rsidP="00F52594">
      <w:pPr>
        <w:spacing w:before="240" w:after="120" w:line="264" w:lineRule="auto"/>
        <w:rPr>
          <w:rFonts w:ascii="Arial" w:hAnsi="Arial" w:cs="Arial"/>
          <w:color w:val="0081C6"/>
        </w:rPr>
      </w:pPr>
      <w:r w:rsidRPr="00F52594">
        <w:rPr>
          <w:rFonts w:ascii="Arial" w:hAnsi="Arial" w:cs="Arial"/>
          <w:color w:val="0081C6"/>
        </w:rPr>
        <w:t xml:space="preserve">When does a party unreasonably refuse to participate in ADR? </w:t>
      </w:r>
    </w:p>
    <w:p w14:paraId="3F06B523"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Whether or not a party is considered to have unreasonably refused to participate in ADR will be determined by the VSBC on a case by case basis, having regard to the facts and context of the party's behaviour. </w:t>
      </w:r>
    </w:p>
    <w:p w14:paraId="7F5FDE1F" w14:textId="77777777" w:rsidR="007D0E5B" w:rsidRPr="00F52594" w:rsidRDefault="007D0E5B" w:rsidP="00F52594">
      <w:pPr>
        <w:spacing w:before="240" w:after="120" w:line="264" w:lineRule="auto"/>
        <w:rPr>
          <w:rFonts w:ascii="Arial" w:hAnsi="Arial" w:cs="Arial"/>
          <w:color w:val="0081C6"/>
        </w:rPr>
      </w:pPr>
      <w:r w:rsidRPr="00F52594">
        <w:rPr>
          <w:rFonts w:ascii="Arial" w:hAnsi="Arial" w:cs="Arial"/>
          <w:color w:val="0081C6"/>
        </w:rPr>
        <w:t xml:space="preserve">What is a 'refusal'? </w:t>
      </w:r>
    </w:p>
    <w:p w14:paraId="1BD9465F"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 failure to respond within a reasonable period of time to a request to participate in ADR will amount to a 'refusal'. </w:t>
      </w:r>
    </w:p>
    <w:p w14:paraId="796D6EC5" w14:textId="50E37F2C"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Initial acceptance to participate in mediation followed by a failure to cooperate will also amount to a refusal. For example, a Respondent</w:t>
      </w:r>
      <w:r w:rsidR="00F149D8">
        <w:rPr>
          <w:rStyle w:val="FootnoteReference"/>
          <w:rFonts w:ascii="Arial" w:hAnsi="Arial" w:cs="Arial"/>
          <w:sz w:val="21"/>
          <w:szCs w:val="21"/>
        </w:rPr>
        <w:footnoteReference w:id="2"/>
      </w:r>
      <w:r w:rsidRPr="007D0E5B">
        <w:rPr>
          <w:rFonts w:ascii="Arial" w:hAnsi="Arial" w:cs="Arial"/>
          <w:sz w:val="21"/>
          <w:szCs w:val="21"/>
        </w:rPr>
        <w:t xml:space="preserve"> agrees to mediation but then postpones the mediation date on more than one occasion. </w:t>
      </w:r>
    </w:p>
    <w:p w14:paraId="763F679C" w14:textId="77777777" w:rsidR="007D0E5B" w:rsidRPr="00F52594" w:rsidRDefault="007D0E5B" w:rsidP="00F52594">
      <w:pPr>
        <w:spacing w:before="240" w:after="120" w:line="264" w:lineRule="auto"/>
        <w:rPr>
          <w:rFonts w:ascii="Arial" w:hAnsi="Arial" w:cs="Arial"/>
          <w:color w:val="0081C6"/>
        </w:rPr>
      </w:pPr>
      <w:r w:rsidRPr="00F52594">
        <w:rPr>
          <w:rFonts w:ascii="Arial" w:hAnsi="Arial" w:cs="Arial"/>
          <w:color w:val="0081C6"/>
        </w:rPr>
        <w:t xml:space="preserve">What is an 'unreasonable' refusal? </w:t>
      </w:r>
    </w:p>
    <w:p w14:paraId="7976C92C"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As a general rule, a party must have good and sufficient reasons for refusing to engage in the process of ADR. Without good and sufficient reasons presented to the VSBC, they will be considered as having refused unreasonably. </w:t>
      </w:r>
    </w:p>
    <w:p w14:paraId="5D10A6C7"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 VSBC will look at the conduct of the parties in the context of the dispute, taking into account, where relevant: </w:t>
      </w:r>
    </w:p>
    <w:p w14:paraId="62DAFBA1" w14:textId="77777777" w:rsidR="007D0E5B" w:rsidRP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 xml:space="preserve">the nature of the dispute and whether it is amenable to ADR; </w:t>
      </w:r>
    </w:p>
    <w:p w14:paraId="05F43971" w14:textId="77777777" w:rsidR="007D0E5B" w:rsidRP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 xml:space="preserve">whether ADR has a reasonable prospect of success; </w:t>
      </w:r>
    </w:p>
    <w:p w14:paraId="054C5163" w14:textId="77777777" w:rsidR="007D0E5B" w:rsidRP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 xml:space="preserve">the positions adopted by each party; </w:t>
      </w:r>
    </w:p>
    <w:p w14:paraId="5BDAF251" w14:textId="77777777" w:rsidR="007D0E5B" w:rsidRP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 xml:space="preserve">whether the costs of ADR would be unreasonably high in comparison to the amount in dispute; </w:t>
      </w:r>
    </w:p>
    <w:p w14:paraId="798F05D5" w14:textId="77777777" w:rsidR="007D0E5B" w:rsidRP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 xml:space="preserve">background considerations, such as the extent to which other settlement methods have been attempted or whether ADR may cause a delay that is prejudicial to the Respondent; </w:t>
      </w:r>
    </w:p>
    <w:p w14:paraId="101789FE" w14:textId="36148711" w:rsidR="007D0E5B" w:rsidRDefault="007D0E5B" w:rsidP="007D0E5B">
      <w:pPr>
        <w:numPr>
          <w:ilvl w:val="0"/>
          <w:numId w:val="8"/>
        </w:numPr>
        <w:spacing w:before="120" w:after="120" w:line="264" w:lineRule="auto"/>
        <w:rPr>
          <w:rFonts w:ascii="Arial" w:hAnsi="Arial" w:cs="Arial"/>
          <w:sz w:val="21"/>
          <w:szCs w:val="21"/>
        </w:rPr>
      </w:pPr>
      <w:r w:rsidRPr="007D0E5B">
        <w:rPr>
          <w:rFonts w:ascii="Arial" w:hAnsi="Arial" w:cs="Arial"/>
          <w:sz w:val="21"/>
          <w:szCs w:val="21"/>
        </w:rPr>
        <w:t>other factors the VSBC considers relevant.</w:t>
      </w:r>
    </w:p>
    <w:p w14:paraId="020A9CD5" w14:textId="6989DD9B"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Silence constitutes a refusal. The VSBC will, in most cases, regard the failure to respond to a request as</w:t>
      </w:r>
      <w:r>
        <w:rPr>
          <w:rFonts w:ascii="Arial" w:hAnsi="Arial" w:cs="Arial"/>
          <w:sz w:val="21"/>
          <w:szCs w:val="21"/>
        </w:rPr>
        <w:t xml:space="preserve"> </w:t>
      </w:r>
      <w:r w:rsidRPr="007D0E5B">
        <w:rPr>
          <w:rFonts w:ascii="Arial" w:hAnsi="Arial" w:cs="Arial"/>
          <w:sz w:val="21"/>
          <w:szCs w:val="21"/>
        </w:rPr>
        <w:t xml:space="preserve">itself an </w:t>
      </w:r>
      <w:r w:rsidRPr="007D0E5B">
        <w:rPr>
          <w:rFonts w:ascii="Arial" w:hAnsi="Arial" w:cs="Arial"/>
          <w:i/>
          <w:iCs/>
          <w:sz w:val="21"/>
          <w:szCs w:val="21"/>
        </w:rPr>
        <w:t>unreasonable</w:t>
      </w:r>
      <w:r w:rsidRPr="007D0E5B">
        <w:rPr>
          <w:rFonts w:ascii="Arial" w:hAnsi="Arial" w:cs="Arial"/>
          <w:sz w:val="21"/>
          <w:szCs w:val="21"/>
        </w:rPr>
        <w:t xml:space="preserve"> refusal. The refusal would be deemed unreasonable even if the party could, if it chose to, identify good and sufficient reasons for refusal. The rationale is: a request must not be ignored; rather, if the request is considered inappropriate, full and clear reasons must be given. </w:t>
      </w:r>
    </w:p>
    <w:p w14:paraId="6C2F3858" w14:textId="5F0FC79B" w:rsidR="007D0E5B" w:rsidRPr="00F52594" w:rsidRDefault="007D0E5B" w:rsidP="00F52594">
      <w:pPr>
        <w:spacing w:before="240" w:after="120" w:line="264" w:lineRule="auto"/>
        <w:rPr>
          <w:rFonts w:ascii="Arial" w:hAnsi="Arial" w:cs="Arial"/>
          <w:i/>
          <w:iCs/>
          <w:color w:val="0081C6"/>
        </w:rPr>
      </w:pPr>
      <w:r w:rsidRPr="00F52594">
        <w:rPr>
          <w:rFonts w:ascii="Arial" w:hAnsi="Arial" w:cs="Arial"/>
          <w:i/>
          <w:iCs/>
          <w:color w:val="0081C6"/>
        </w:rPr>
        <w:lastRenderedPageBreak/>
        <w:t xml:space="preserve">Examples </w:t>
      </w:r>
    </w:p>
    <w:p w14:paraId="6A91852D"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Examples of good and sufficient reasons to refuse to participate in ADR may include: </w:t>
      </w:r>
    </w:p>
    <w:p w14:paraId="6BAEEDD4"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on an objective view, there is no real prospect of successfully resolving the dispute through ADR. For example, the character and attitude of the Applicant is such that there is no prospect that resolution will be achieved; or the issue in dispute is a matter of legal interpretation which must be resolved by adjudication; </w:t>
      </w:r>
    </w:p>
    <w:p w14:paraId="30E6E018"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Respondent’s objections to ADR are bona fide, for example, it is clear that the Applicant is initiating the process for purely 'self-serving' reasons; </w:t>
      </w:r>
    </w:p>
    <w:p w14:paraId="242FB8C9"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nature of the dispute is such that it is more appropriately addressed in another forum. For example, there is another statutory process through which the complaint should be resolved; </w:t>
      </w:r>
    </w:p>
    <w:p w14:paraId="55D0B61C"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Respondent business or non-profit organisation is insolvent, or ceases to carry on business; </w:t>
      </w:r>
    </w:p>
    <w:p w14:paraId="42E727C3"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conduct of the Applicant is such that it clearly does not have a serious intention to participate in ADR. For example, it is objecting to the appointment of a mediator, the timing of mediation, the terms of the </w:t>
      </w:r>
      <w:r w:rsidRPr="007D0E5B">
        <w:rPr>
          <w:rFonts w:ascii="Arial" w:hAnsi="Arial" w:cs="Arial"/>
          <w:i/>
          <w:iCs/>
          <w:sz w:val="21"/>
          <w:szCs w:val="21"/>
        </w:rPr>
        <w:t>Mediation Agreement</w:t>
      </w:r>
      <w:r w:rsidRPr="007D0E5B">
        <w:rPr>
          <w:rFonts w:ascii="Arial" w:hAnsi="Arial" w:cs="Arial"/>
          <w:sz w:val="21"/>
          <w:szCs w:val="21"/>
        </w:rPr>
        <w:t xml:space="preserve">, or engaging in a pattern of behaviour of making and withdrawing offers; </w:t>
      </w:r>
    </w:p>
    <w:p w14:paraId="38ED4AA4"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Applicant does not identify the issue/s in dispute, or there is no apparent cause of action triggering a dispute. For example, the claim is too generic for a reasonable person to understand the alleged problem, or the dispute presented suggests that the named Respondent is not the appropriate party to the dispute. </w:t>
      </w:r>
    </w:p>
    <w:p w14:paraId="02555783"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On the other hand, refusal to participate in ADR may be considered unreasonable where: </w:t>
      </w:r>
    </w:p>
    <w:p w14:paraId="1F0AFF94"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refusal is because ADR will involve a payment of money or allocation of time which the party is not willing to contemplate; </w:t>
      </w:r>
    </w:p>
    <w:p w14:paraId="03FB9315"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refusal is motivated by completely commercial considerations unrelated to the dispute; </w:t>
      </w:r>
    </w:p>
    <w:p w14:paraId="65464D97"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dispute is of a kind that lends itself to ADR but the Respondent acts as if their case is so watertight it does not need to engage in ADR, or suggests the dispute is too complex for ADR, or demands the Applicant litigate the matter; </w:t>
      </w:r>
    </w:p>
    <w:p w14:paraId="551B8633"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Respondent fails to accept the jurisdiction of the VSBC to provide ADR services to try to resolve the dispute; </w:t>
      </w:r>
    </w:p>
    <w:p w14:paraId="1BF84565" w14:textId="77777777" w:rsidR="007D0E5B" w:rsidRPr="007D0E5B" w:rsidRDefault="007D0E5B" w:rsidP="007D0E5B">
      <w:pPr>
        <w:numPr>
          <w:ilvl w:val="0"/>
          <w:numId w:val="9"/>
        </w:numPr>
        <w:spacing w:before="120" w:after="120" w:line="264" w:lineRule="auto"/>
        <w:rPr>
          <w:rFonts w:ascii="Arial" w:hAnsi="Arial" w:cs="Arial"/>
          <w:sz w:val="21"/>
          <w:szCs w:val="21"/>
        </w:rPr>
      </w:pPr>
      <w:r w:rsidRPr="007D0E5B">
        <w:rPr>
          <w:rFonts w:ascii="Arial" w:hAnsi="Arial" w:cs="Arial"/>
          <w:sz w:val="21"/>
          <w:szCs w:val="21"/>
        </w:rPr>
        <w:t xml:space="preserve">the Respondent consistently avoids taking telephone calls, fails to participate in a telephone call, fails to respond to mail or email, is abusive and rude, or unreasonably ends a telephone call. </w:t>
      </w:r>
    </w:p>
    <w:p w14:paraId="1E8AF8A1"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In all cases, the specific circumstances of the dispute must be taken into account in determining whether refusal is reasonable or unreasonable. </w:t>
      </w:r>
    </w:p>
    <w:p w14:paraId="5470F029" w14:textId="77777777" w:rsidR="007D0E5B" w:rsidRPr="00F52594" w:rsidRDefault="007D0E5B" w:rsidP="00F52594">
      <w:pPr>
        <w:spacing w:before="240" w:after="120" w:line="264" w:lineRule="auto"/>
        <w:rPr>
          <w:rFonts w:ascii="Arial" w:hAnsi="Arial" w:cs="Arial"/>
          <w:color w:val="0081C6"/>
        </w:rPr>
      </w:pPr>
      <w:r w:rsidRPr="00F52594">
        <w:rPr>
          <w:rFonts w:ascii="Arial" w:hAnsi="Arial" w:cs="Arial"/>
          <w:color w:val="0081C6"/>
        </w:rPr>
        <w:t xml:space="preserve">Publication in Annual Report of name of Respondent where unreasonable refusal to participate in ADR has been certified </w:t>
      </w:r>
    </w:p>
    <w:p w14:paraId="0BBA2D2A" w14:textId="77777777" w:rsid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 general practice of the VSBC is to publish in its Annual Report the details of all certificates that have been issued to a party to a dispute who has unreasonably refused to participate in ADR (s 16(4)). This leads to improved reporting as to the outcome of ADR, and also discourages unreasonable refusal to participate. </w:t>
      </w:r>
    </w:p>
    <w:p w14:paraId="56ADFBDB"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lastRenderedPageBreak/>
        <w:t xml:space="preserve">The publication of such details is limited to the name of the Respondent business or government or non- profit entity which has unreasonably refused to participate in ADR. As a general rule, the details of the parties will not include the names of the individual or individuals representing that business or other entity. </w:t>
      </w:r>
    </w:p>
    <w:p w14:paraId="6BA3D334"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Generally, the VSBC must not include in the Annual Report any information that would identify any person who is not the subject of any adverse comment or opinion, other than the party identified in a certificate as unreasonably refusing to participate in ADR (s 16(8)). </w:t>
      </w:r>
    </w:p>
    <w:p w14:paraId="06EA5925"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However, every Respondent in respect of whom a certificate of unreasonable refusal has been issued is given the opportunity to submit to the VSBC reasons why the details of the certificate should not be published in the Annual Report. The VSBC will consider the reasons before making a decision. </w:t>
      </w:r>
    </w:p>
    <w:p w14:paraId="676A9F9B" w14:textId="77777777" w:rsidR="007D0E5B" w:rsidRPr="00F52594" w:rsidRDefault="007D0E5B" w:rsidP="00F52594">
      <w:pPr>
        <w:spacing w:before="240" w:after="120" w:line="264" w:lineRule="auto"/>
        <w:rPr>
          <w:rFonts w:ascii="Arial" w:hAnsi="Arial" w:cs="Arial"/>
        </w:rPr>
      </w:pPr>
      <w:r w:rsidRPr="00F52594">
        <w:rPr>
          <w:rFonts w:ascii="Arial" w:hAnsi="Arial" w:cs="Arial"/>
          <w:color w:val="0081C6"/>
        </w:rPr>
        <w:t xml:space="preserve">VSBC Process – ADR, certificates and Annual Report </w:t>
      </w:r>
    </w:p>
    <w:p w14:paraId="0079DBDF"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The VSBC will contact the Respondent by letter or email in the first instance, bringing the dispute to its attention, informing it of the role of the VSBC in providing ADR services and of the consequences of unreasonable refusal to participate in ADR, referring it to these </w:t>
      </w:r>
      <w:r w:rsidRPr="007D0E5B">
        <w:rPr>
          <w:rFonts w:ascii="Arial" w:hAnsi="Arial" w:cs="Arial"/>
          <w:i/>
          <w:iCs/>
          <w:sz w:val="21"/>
          <w:szCs w:val="21"/>
        </w:rPr>
        <w:t>Guidelines</w:t>
      </w:r>
      <w:r w:rsidRPr="007D0E5B">
        <w:rPr>
          <w:rFonts w:ascii="Arial" w:hAnsi="Arial" w:cs="Arial"/>
          <w:sz w:val="21"/>
          <w:szCs w:val="21"/>
        </w:rPr>
        <w:t xml:space="preserve">, and requiring a response within 10 days. </w:t>
      </w:r>
    </w:p>
    <w:p w14:paraId="5DF4B654"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If no response is received, reasonable efforts will be made to contact the Respondent. </w:t>
      </w:r>
    </w:p>
    <w:p w14:paraId="100396D3"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In instances of refusal, the VSBC will form a view as to whether the refusal to participate in ADR is </w:t>
      </w:r>
      <w:r w:rsidRPr="007D0E5B">
        <w:rPr>
          <w:rFonts w:ascii="Arial" w:hAnsi="Arial" w:cs="Arial"/>
          <w:i/>
          <w:iCs/>
          <w:sz w:val="21"/>
          <w:szCs w:val="21"/>
        </w:rPr>
        <w:t>unreasonable</w:t>
      </w:r>
      <w:r w:rsidRPr="007D0E5B">
        <w:rPr>
          <w:rFonts w:ascii="Arial" w:hAnsi="Arial" w:cs="Arial"/>
          <w:sz w:val="21"/>
          <w:szCs w:val="21"/>
        </w:rPr>
        <w:t xml:space="preserve">, based on the response or non-response of the Respondent and the other material available about the circumstances of the case. </w:t>
      </w:r>
    </w:p>
    <w:p w14:paraId="74BDE794"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Where it is considered that there has been unreasonable refusal, the VSBC will write to the Respondent notifying it that the VSBC intends to issue a certificate certifying that the Respondent has unreasonably refused to participate in ADR, provide information of the consequences of that certification, and provide a further 10 days to participate in ADR. </w:t>
      </w:r>
    </w:p>
    <w:p w14:paraId="346A0B2F"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If the Respondent does not agree to participate in ADR within these 10 days, the VSBC will write to the Respondent informing it of the VSBC decision that there has been unreasonable refusal to participate in ADR, and provide a copy of the certificate. A copy will also be provided to the Applicant. The Respondent will be given a further 21 days to give reasons why the details of the certificate (that is, its name) should not be included in the Annual Report (s 16(5)). </w:t>
      </w:r>
    </w:p>
    <w:p w14:paraId="633BCBA2" w14:textId="77777777" w:rsidR="007D0E5B" w:rsidRPr="007D0E5B" w:rsidRDefault="007D0E5B" w:rsidP="007D0E5B">
      <w:pPr>
        <w:spacing w:before="120" w:after="120" w:line="264" w:lineRule="auto"/>
        <w:rPr>
          <w:rFonts w:ascii="Arial" w:hAnsi="Arial" w:cs="Arial"/>
          <w:sz w:val="21"/>
          <w:szCs w:val="21"/>
        </w:rPr>
      </w:pPr>
      <w:r w:rsidRPr="007D0E5B">
        <w:rPr>
          <w:rFonts w:ascii="Arial" w:hAnsi="Arial" w:cs="Arial"/>
          <w:sz w:val="21"/>
          <w:szCs w:val="21"/>
        </w:rPr>
        <w:t xml:space="preserve">After having considered the response (if any) from the Respondent, the VSBC will write to the Respondent notifying its decision to publish (or not to publish) the details of the certificate in the Annual Report. </w:t>
      </w:r>
    </w:p>
    <w:p w14:paraId="053356ED" w14:textId="654D78F2" w:rsidR="00B63C3B" w:rsidRPr="00F52594" w:rsidRDefault="00B63C3B" w:rsidP="00F52594">
      <w:pPr>
        <w:spacing w:before="240" w:after="120" w:line="264" w:lineRule="auto"/>
        <w:rPr>
          <w:rFonts w:ascii="Arial" w:hAnsi="Arial" w:cs="Arial"/>
          <w:color w:val="0081C6"/>
        </w:rPr>
      </w:pPr>
      <w:r w:rsidRPr="00F52594">
        <w:rPr>
          <w:rFonts w:ascii="Arial" w:hAnsi="Arial" w:cs="Arial"/>
          <w:color w:val="0081C6"/>
        </w:rPr>
        <w:t xml:space="preserve">For more information contact the VSBC </w:t>
      </w:r>
    </w:p>
    <w:p w14:paraId="4C4B1819" w14:textId="77777777" w:rsidR="00FB3C5B" w:rsidRDefault="00FB3C5B" w:rsidP="00FB3C5B">
      <w:pPr>
        <w:spacing w:before="120" w:after="120" w:line="264" w:lineRule="auto"/>
        <w:rPr>
          <w:rFonts w:ascii="Arial" w:hAnsi="Arial" w:cs="Arial"/>
          <w:sz w:val="21"/>
          <w:szCs w:val="21"/>
        </w:rPr>
      </w:pPr>
      <w:r>
        <w:rPr>
          <w:rFonts w:ascii="Arial" w:hAnsi="Arial" w:cs="Arial"/>
          <w:sz w:val="21"/>
          <w:szCs w:val="21"/>
        </w:rPr>
        <w:t xml:space="preserve">Level 2, </w:t>
      </w:r>
      <w:r w:rsidRPr="00B63C3B">
        <w:rPr>
          <w:rFonts w:ascii="Arial" w:hAnsi="Arial" w:cs="Arial"/>
          <w:sz w:val="21"/>
          <w:szCs w:val="21"/>
        </w:rPr>
        <w:t xml:space="preserve">121 Exhibition Street Melbourne Victoria 3000 </w:t>
      </w:r>
    </w:p>
    <w:p w14:paraId="1C0A2571" w14:textId="77E862D3" w:rsidR="00FB3C5B" w:rsidRDefault="00FB3C5B" w:rsidP="00FB3C5B">
      <w:pPr>
        <w:spacing w:before="120" w:after="120" w:line="264" w:lineRule="auto"/>
        <w:rPr>
          <w:rFonts w:ascii="Arial" w:hAnsi="Arial" w:cs="Arial"/>
          <w:sz w:val="21"/>
          <w:szCs w:val="21"/>
        </w:rPr>
      </w:pPr>
      <w:r w:rsidRPr="00B434A6">
        <w:rPr>
          <w:rFonts w:ascii="Arial" w:hAnsi="Arial" w:cs="Arial"/>
          <w:sz w:val="21"/>
          <w:szCs w:val="21"/>
        </w:rPr>
        <w:t>GPO Box 4509</w:t>
      </w:r>
      <w:r>
        <w:rPr>
          <w:rFonts w:ascii="Arial" w:hAnsi="Arial" w:cs="Arial"/>
          <w:sz w:val="21"/>
          <w:szCs w:val="21"/>
        </w:rPr>
        <w:t xml:space="preserve"> </w:t>
      </w:r>
      <w:r w:rsidRPr="00B434A6">
        <w:rPr>
          <w:rFonts w:ascii="Arial" w:hAnsi="Arial" w:cs="Arial"/>
          <w:sz w:val="21"/>
          <w:szCs w:val="21"/>
        </w:rPr>
        <w:t>Melbourne Victoria 3001</w:t>
      </w:r>
    </w:p>
    <w:p w14:paraId="7F00584B" w14:textId="3FA03A13" w:rsidR="00FB3C5B" w:rsidRDefault="00FB3C5B" w:rsidP="00FB3C5B">
      <w:pPr>
        <w:spacing w:before="120" w:after="120" w:line="264" w:lineRule="auto"/>
        <w:rPr>
          <w:rFonts w:ascii="Arial" w:hAnsi="Arial" w:cs="Arial"/>
          <w:sz w:val="21"/>
          <w:szCs w:val="21"/>
        </w:rPr>
      </w:pPr>
      <w:r>
        <w:rPr>
          <w:rFonts w:ascii="Arial" w:hAnsi="Arial" w:cs="Arial"/>
          <w:sz w:val="21"/>
          <w:szCs w:val="21"/>
        </w:rPr>
        <w:t xml:space="preserve">Telephone </w:t>
      </w:r>
      <w:r w:rsidRPr="00B63C3B">
        <w:rPr>
          <w:rFonts w:ascii="Arial" w:hAnsi="Arial" w:cs="Arial"/>
          <w:sz w:val="21"/>
          <w:szCs w:val="21"/>
        </w:rPr>
        <w:t>1800 878 964</w:t>
      </w:r>
    </w:p>
    <w:p w14:paraId="2CDEEB94" w14:textId="2A7402E8" w:rsidR="00FB3C5B" w:rsidRDefault="00F52594" w:rsidP="00FB3C5B">
      <w:pPr>
        <w:spacing w:before="120" w:after="120" w:line="264" w:lineRule="auto"/>
        <w:rPr>
          <w:rFonts w:ascii="Arial" w:hAnsi="Arial" w:cs="Arial"/>
          <w:sz w:val="21"/>
          <w:szCs w:val="21"/>
        </w:rPr>
      </w:pPr>
      <w:hyperlink r:id="rId12" w:history="1">
        <w:r w:rsidR="00FB3C5B" w:rsidRPr="0094155C">
          <w:rPr>
            <w:rStyle w:val="Hyperlink"/>
            <w:rFonts w:cs="Arial"/>
            <w:sz w:val="21"/>
            <w:szCs w:val="21"/>
          </w:rPr>
          <w:t>enquiries@vsbc.vic.gov.au</w:t>
        </w:r>
      </w:hyperlink>
    </w:p>
    <w:p w14:paraId="1D9A6AB6" w14:textId="5A97B3BA" w:rsidR="00B63C3B" w:rsidRPr="00B63C3B" w:rsidRDefault="00F52594" w:rsidP="00B63C3B">
      <w:pPr>
        <w:spacing w:before="120" w:after="120" w:line="264" w:lineRule="auto"/>
        <w:rPr>
          <w:rFonts w:ascii="Arial" w:hAnsi="Arial" w:cs="Arial"/>
          <w:sz w:val="21"/>
          <w:szCs w:val="21"/>
        </w:rPr>
      </w:pPr>
      <w:hyperlink r:id="rId13" w:history="1">
        <w:r w:rsidR="00FB3C5B" w:rsidRPr="0094155C">
          <w:rPr>
            <w:rStyle w:val="Hyperlink"/>
            <w:rFonts w:cs="Arial"/>
            <w:sz w:val="21"/>
            <w:szCs w:val="21"/>
          </w:rPr>
          <w:t>www.</w:t>
        </w:r>
        <w:r w:rsidR="00FB3C5B" w:rsidRPr="00B63C3B">
          <w:rPr>
            <w:rStyle w:val="Hyperlink"/>
            <w:rFonts w:cs="Arial"/>
            <w:sz w:val="21"/>
            <w:szCs w:val="21"/>
          </w:rPr>
          <w:t>vsbc.vic.gov.au</w:t>
        </w:r>
      </w:hyperlink>
      <w:r w:rsidR="00FB3C5B">
        <w:rPr>
          <w:rFonts w:ascii="Arial" w:hAnsi="Arial" w:cs="Arial"/>
          <w:sz w:val="21"/>
          <w:szCs w:val="21"/>
        </w:rPr>
        <w:t xml:space="preserve"> </w:t>
      </w:r>
      <w:r w:rsidR="00B63C3B" w:rsidRPr="00B63C3B">
        <w:rPr>
          <w:rFonts w:ascii="Arial" w:hAnsi="Arial" w:cs="Arial"/>
          <w:sz w:val="21"/>
          <w:szCs w:val="21"/>
        </w:rPr>
        <w:t xml:space="preserve"> </w:t>
      </w:r>
    </w:p>
    <w:p w14:paraId="12E41278" w14:textId="776F46E3" w:rsidR="00B434A6" w:rsidRPr="00B63C3B" w:rsidRDefault="00B434A6" w:rsidP="00B63C3B">
      <w:pPr>
        <w:spacing w:before="120" w:after="120" w:line="264" w:lineRule="auto"/>
        <w:rPr>
          <w:rFonts w:ascii="Arial" w:hAnsi="Arial" w:cs="Arial"/>
          <w:sz w:val="21"/>
          <w:szCs w:val="21"/>
        </w:rPr>
      </w:pPr>
    </w:p>
    <w:p w14:paraId="2976AE66" w14:textId="77777777" w:rsidR="007D0E5B" w:rsidRPr="007D0E5B" w:rsidRDefault="007D0E5B" w:rsidP="007D0E5B">
      <w:pPr>
        <w:spacing w:before="120" w:after="120" w:line="264" w:lineRule="auto"/>
        <w:rPr>
          <w:rFonts w:ascii="Arial" w:hAnsi="Arial" w:cs="Arial"/>
          <w:sz w:val="21"/>
          <w:szCs w:val="21"/>
        </w:rPr>
      </w:pPr>
    </w:p>
    <w:p w14:paraId="38C3E29B" w14:textId="1C447E00" w:rsidR="005E664A" w:rsidRPr="00B434A6" w:rsidRDefault="005E664A" w:rsidP="001B5267">
      <w:pPr>
        <w:spacing w:before="120" w:after="120" w:line="264" w:lineRule="auto"/>
        <w:rPr>
          <w:rStyle w:val="FollowedHyperlink"/>
        </w:rPr>
      </w:pPr>
    </w:p>
    <w:sectPr w:rsidR="005E664A" w:rsidRPr="00B434A6" w:rsidSect="000019F2">
      <w:headerReference w:type="default" r:id="rId14"/>
      <w:footerReference w:type="even" r:id="rId15"/>
      <w:footerReference w:type="default" r:id="rId16"/>
      <w:pgSz w:w="11906" w:h="16838"/>
      <w:pgMar w:top="199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C3F9" w14:textId="77777777" w:rsidR="005923FB" w:rsidRDefault="005923FB" w:rsidP="002F29BB">
      <w:r>
        <w:separator/>
      </w:r>
    </w:p>
  </w:endnote>
  <w:endnote w:type="continuationSeparator" w:id="0">
    <w:p w14:paraId="0BC51913" w14:textId="77777777" w:rsidR="005923FB" w:rsidRDefault="005923FB" w:rsidP="002F29BB">
      <w:r>
        <w:continuationSeparator/>
      </w:r>
    </w:p>
  </w:endnote>
  <w:endnote w:type="continuationNotice" w:id="1">
    <w:p w14:paraId="26F40585" w14:textId="77777777" w:rsidR="005923FB" w:rsidRDefault="0059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2532895"/>
      <w:docPartObj>
        <w:docPartGallery w:val="Page Numbers (Bottom of Page)"/>
        <w:docPartUnique/>
      </w:docPartObj>
    </w:sdtPr>
    <w:sdtContent>
      <w:p w14:paraId="35E8976B" w14:textId="52C33620" w:rsidR="004C0F86" w:rsidRDefault="004C0F86" w:rsidP="009415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A0B911" w14:textId="77777777" w:rsidR="004C0F86" w:rsidRDefault="004C0F86" w:rsidP="004C0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5060443"/>
      <w:docPartObj>
        <w:docPartGallery w:val="Page Numbers (Bottom of Page)"/>
        <w:docPartUnique/>
      </w:docPartObj>
    </w:sdtPr>
    <w:sdtContent>
      <w:p w14:paraId="6515DC46" w14:textId="6E4E367F" w:rsidR="004C0F86" w:rsidRDefault="004C0F86" w:rsidP="0094155C">
        <w:pPr>
          <w:pStyle w:val="Footer"/>
          <w:framePr w:wrap="none" w:vAnchor="text" w:hAnchor="margin" w:xAlign="right" w:y="1"/>
          <w:rPr>
            <w:rStyle w:val="PageNumber"/>
          </w:rPr>
        </w:pPr>
        <w:r w:rsidRPr="004C0F86">
          <w:rPr>
            <w:rStyle w:val="PageNumber"/>
            <w:rFonts w:ascii="Arial" w:hAnsi="Arial" w:cs="Arial"/>
          </w:rPr>
          <w:fldChar w:fldCharType="begin"/>
        </w:r>
        <w:r w:rsidRPr="004C0F86">
          <w:rPr>
            <w:rStyle w:val="PageNumber"/>
            <w:rFonts w:ascii="Arial" w:hAnsi="Arial" w:cs="Arial"/>
          </w:rPr>
          <w:instrText xml:space="preserve"> PAGE </w:instrText>
        </w:r>
        <w:r w:rsidRPr="004C0F86">
          <w:rPr>
            <w:rStyle w:val="PageNumber"/>
            <w:rFonts w:ascii="Arial" w:hAnsi="Arial" w:cs="Arial"/>
          </w:rPr>
          <w:fldChar w:fldCharType="separate"/>
        </w:r>
        <w:r w:rsidRPr="004C0F86">
          <w:rPr>
            <w:rStyle w:val="PageNumber"/>
            <w:rFonts w:ascii="Arial" w:hAnsi="Arial" w:cs="Arial"/>
            <w:noProof/>
          </w:rPr>
          <w:t>1</w:t>
        </w:r>
        <w:r w:rsidRPr="004C0F86">
          <w:rPr>
            <w:rStyle w:val="PageNumber"/>
            <w:rFonts w:ascii="Arial" w:hAnsi="Arial" w:cs="Arial"/>
          </w:rPr>
          <w:fldChar w:fldCharType="end"/>
        </w:r>
      </w:p>
    </w:sdtContent>
  </w:sdt>
  <w:p w14:paraId="33D917B5" w14:textId="4044B9CE" w:rsidR="00E23339" w:rsidRPr="007D0E5B" w:rsidRDefault="00004229" w:rsidP="004C0F86">
    <w:pPr>
      <w:pStyle w:val="Footer"/>
      <w:ind w:right="360"/>
      <w:rPr>
        <w:rFonts w:ascii="Arial" w:hAnsi="Arial" w:cs="Arial"/>
        <w:color w:val="000000" w:themeColor="text1"/>
        <w:sz w:val="21"/>
        <w:szCs w:val="21"/>
      </w:rPr>
    </w:pPr>
    <w:r>
      <w:rPr>
        <w:rFonts w:ascii="Arial" w:hAnsi="Arial" w:cs="Arial"/>
        <w:i/>
        <w:iCs/>
        <w:noProof/>
        <w:color w:val="000000" w:themeColor="text1"/>
        <w:sz w:val="21"/>
        <w:szCs w:val="21"/>
      </w:rPr>
      <mc:AlternateContent>
        <mc:Choice Requires="wps">
          <w:drawing>
            <wp:anchor distT="0" distB="0" distL="114300" distR="114300" simplePos="0" relativeHeight="251658240" behindDoc="0" locked="0" layoutInCell="0" allowOverlap="1" wp14:anchorId="1F56658A" wp14:editId="0DB00716">
              <wp:simplePos x="0" y="0"/>
              <wp:positionH relativeFrom="page">
                <wp:posOffset>0</wp:posOffset>
              </wp:positionH>
              <wp:positionV relativeFrom="page">
                <wp:posOffset>10248900</wp:posOffset>
              </wp:positionV>
              <wp:extent cx="7560310" cy="252095"/>
              <wp:effectExtent l="0" t="0" r="0" b="14605"/>
              <wp:wrapNone/>
              <wp:docPr id="1" name="Text Box 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BA211" w14:textId="6CD014AE" w:rsidR="00004229" w:rsidRPr="009A201F" w:rsidRDefault="00004229" w:rsidP="00004229">
                          <w:pPr>
                            <w:jc w:val="center"/>
                            <w:rPr>
                              <w:rFonts w:ascii="Arial" w:hAnsi="Arial" w:cs="Arial"/>
                              <w:color w:val="000000"/>
                              <w:sz w:val="21"/>
                              <w:szCs w:val="21"/>
                            </w:rPr>
                          </w:pPr>
                          <w:r w:rsidRPr="009A201F">
                            <w:rPr>
                              <w:rFonts w:ascii="Arial" w:hAnsi="Arial" w:cs="Arial"/>
                              <w:color w:val="000000"/>
                              <w:sz w:val="21"/>
                              <w:szCs w:val="21"/>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56658A" id="_x0000_t202" coordsize="21600,21600" o:spt="202" path="m,l,21600r21600,l21600,xe">
              <v:stroke joinstyle="miter"/>
              <v:path gradientshapeok="t" o:connecttype="rect"/>
            </v:shapetype>
            <v:shape id="Text Box 1"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" o:allowincell="f" filled="f" stroked="f" strokeweight=".5pt">
              <v:textbox inset=",0,,0">
                <w:txbxContent>
                  <w:p w14:paraId="5C4BA211" w14:textId="6CD014AE" w:rsidR="00004229" w:rsidRPr="009A201F" w:rsidRDefault="00004229" w:rsidP="00004229">
                    <w:pPr>
                      <w:jc w:val="center"/>
                      <w:rPr>
                        <w:rFonts w:ascii="Arial" w:hAnsi="Arial" w:cs="Arial"/>
                        <w:color w:val="000000"/>
                        <w:sz w:val="21"/>
                        <w:szCs w:val="21"/>
                      </w:rPr>
                    </w:pPr>
                    <w:r w:rsidRPr="009A201F">
                      <w:rPr>
                        <w:rFonts w:ascii="Arial" w:hAnsi="Arial" w:cs="Arial"/>
                        <w:color w:val="000000"/>
                        <w:sz w:val="21"/>
                        <w:szCs w:val="21"/>
                      </w:rPr>
                      <w:t>OFFICIAL</w:t>
                    </w:r>
                  </w:p>
                </w:txbxContent>
              </v:textbox>
              <w10:wrap anchorx="page" anchory="page"/>
            </v:shape>
          </w:pict>
        </mc:Fallback>
      </mc:AlternateContent>
    </w:r>
  </w:p>
  <w:p w14:paraId="789567DC" w14:textId="77777777" w:rsidR="000019F2" w:rsidRDefault="0000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4A77" w14:textId="77777777" w:rsidR="005923FB" w:rsidRDefault="005923FB" w:rsidP="002F29BB">
      <w:r>
        <w:separator/>
      </w:r>
    </w:p>
  </w:footnote>
  <w:footnote w:type="continuationSeparator" w:id="0">
    <w:p w14:paraId="2CD86D47" w14:textId="77777777" w:rsidR="005923FB" w:rsidRDefault="005923FB" w:rsidP="002F29BB">
      <w:r>
        <w:continuationSeparator/>
      </w:r>
    </w:p>
  </w:footnote>
  <w:footnote w:type="continuationNotice" w:id="1">
    <w:p w14:paraId="3C9A24F4" w14:textId="77777777" w:rsidR="005923FB" w:rsidRDefault="005923FB"/>
  </w:footnote>
  <w:footnote w:id="2">
    <w:p w14:paraId="429297D2" w14:textId="10BF9D15" w:rsidR="00F149D8" w:rsidRPr="00F149D8" w:rsidRDefault="00F149D8">
      <w:pPr>
        <w:pStyle w:val="FootnoteText"/>
        <w:rPr>
          <w:rFonts w:ascii="Arial" w:hAnsi="Arial" w:cs="Arial"/>
          <w:sz w:val="18"/>
          <w:szCs w:val="18"/>
        </w:rPr>
      </w:pPr>
      <w:r w:rsidRPr="00F149D8">
        <w:rPr>
          <w:rStyle w:val="FootnoteReference"/>
          <w:rFonts w:ascii="Arial" w:hAnsi="Arial" w:cs="Arial"/>
          <w:sz w:val="18"/>
          <w:szCs w:val="18"/>
        </w:rPr>
        <w:footnoteRef/>
      </w:r>
      <w:r w:rsidRPr="00F149D8">
        <w:rPr>
          <w:rFonts w:ascii="Arial" w:hAnsi="Arial" w:cs="Arial"/>
          <w:sz w:val="18"/>
          <w:szCs w:val="18"/>
        </w:rPr>
        <w:t xml:space="preserve"> In the vast majority of cases, it is the Respondent party who will be refusing to participate in ADR. These </w:t>
      </w:r>
      <w:r w:rsidRPr="005A3C50">
        <w:rPr>
          <w:rFonts w:ascii="Arial" w:hAnsi="Arial" w:cs="Arial"/>
          <w:i/>
          <w:iCs/>
          <w:sz w:val="18"/>
          <w:szCs w:val="18"/>
        </w:rPr>
        <w:t>Guidelines</w:t>
      </w:r>
      <w:r w:rsidRPr="00F149D8">
        <w:rPr>
          <w:rFonts w:ascii="Arial" w:hAnsi="Arial" w:cs="Arial"/>
          <w:sz w:val="18"/>
          <w:szCs w:val="18"/>
        </w:rPr>
        <w:t xml:space="preserve"> therefore refer to the Respondent as the refusing party for clarity of reading. However, it can be the Applicant who refuses to participate </w:t>
      </w:r>
      <w:r w:rsidR="005A3C50">
        <w:rPr>
          <w:rFonts w:ascii="Arial" w:hAnsi="Arial" w:cs="Arial"/>
          <w:sz w:val="18"/>
          <w:szCs w:val="18"/>
        </w:rPr>
        <w:t>–</w:t>
      </w:r>
      <w:r w:rsidRPr="00F149D8">
        <w:rPr>
          <w:rFonts w:ascii="Arial" w:hAnsi="Arial" w:cs="Arial"/>
          <w:sz w:val="18"/>
          <w:szCs w:val="18"/>
        </w:rPr>
        <w:t xml:space="preserve"> for example, after lodging a dispute with VSBC, the Applicant refuses to participate in ADR once the Respondent has agreed to do so. These </w:t>
      </w:r>
      <w:r w:rsidRPr="005A3C50">
        <w:rPr>
          <w:rFonts w:ascii="Arial" w:hAnsi="Arial" w:cs="Arial"/>
          <w:i/>
          <w:iCs/>
          <w:sz w:val="18"/>
          <w:szCs w:val="18"/>
        </w:rPr>
        <w:t>Guidelines</w:t>
      </w:r>
      <w:r w:rsidRPr="00F149D8">
        <w:rPr>
          <w:rFonts w:ascii="Arial" w:hAnsi="Arial" w:cs="Arial"/>
          <w:sz w:val="18"/>
          <w:szCs w:val="18"/>
        </w:rPr>
        <w:t xml:space="preserve"> apply to the party refusing, not only the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4061" w14:textId="3638CACA" w:rsidR="002F29BB" w:rsidRDefault="00004229" w:rsidP="002F29BB">
    <w:pPr>
      <w:pStyle w:val="Header"/>
    </w:pPr>
    <w:r>
      <w:rPr>
        <w:rFonts w:ascii="Calibri" w:eastAsia="Calibri" w:hAnsi="Calibri" w:cs="Times New Roman"/>
        <w:noProof/>
        <w:sz w:val="22"/>
        <w:szCs w:val="22"/>
        <w:lang w:val="en-US"/>
      </w:rPr>
      <mc:AlternateContent>
        <mc:Choice Requires="wps">
          <w:drawing>
            <wp:anchor distT="0" distB="0" distL="114300" distR="114300" simplePos="0" relativeHeight="251658241" behindDoc="0" locked="0" layoutInCell="0" allowOverlap="1" wp14:anchorId="52EE8007" wp14:editId="4AD526CD">
              <wp:simplePos x="0" y="0"/>
              <wp:positionH relativeFrom="page">
                <wp:posOffset>0</wp:posOffset>
              </wp:positionH>
              <wp:positionV relativeFrom="page">
                <wp:posOffset>190500</wp:posOffset>
              </wp:positionV>
              <wp:extent cx="7560310" cy="252095"/>
              <wp:effectExtent l="0" t="0" r="0" b="14605"/>
              <wp:wrapNone/>
              <wp:docPr id="2" name="Text Box 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62373" w14:textId="4E5F4D31" w:rsidR="00004229" w:rsidRPr="009A201F" w:rsidRDefault="00004229" w:rsidP="00004229">
                          <w:pPr>
                            <w:jc w:val="center"/>
                            <w:rPr>
                              <w:rFonts w:ascii="Arial" w:hAnsi="Arial" w:cs="Arial"/>
                              <w:color w:val="000000"/>
                              <w:sz w:val="21"/>
                              <w:szCs w:val="21"/>
                            </w:rPr>
                          </w:pPr>
                          <w:r w:rsidRPr="009A201F">
                            <w:rPr>
                              <w:rFonts w:ascii="Arial" w:hAnsi="Arial" w:cs="Arial"/>
                              <w:color w:val="000000"/>
                              <w:sz w:val="21"/>
                              <w:szCs w:val="21"/>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EE8007" id="_x0000_t202" coordsize="21600,21600" o:spt="202" path="m,l,21600r21600,l21600,xe">
              <v:stroke joinstyle="miter"/>
              <v:path gradientshapeok="t" o:connecttype="rect"/>
            </v:shapetype>
            <v:shape id="Text Box 2"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" o:allowincell="f" filled="f" stroked="f" strokeweight=".5pt">
              <v:textbox inset=",0,,0">
                <w:txbxContent>
                  <w:p w14:paraId="7D462373" w14:textId="4E5F4D31" w:rsidR="00004229" w:rsidRPr="009A201F" w:rsidRDefault="00004229" w:rsidP="00004229">
                    <w:pPr>
                      <w:jc w:val="center"/>
                      <w:rPr>
                        <w:rFonts w:ascii="Arial" w:hAnsi="Arial" w:cs="Arial"/>
                        <w:color w:val="000000"/>
                        <w:sz w:val="21"/>
                        <w:szCs w:val="21"/>
                      </w:rPr>
                    </w:pPr>
                    <w:r w:rsidRPr="009A201F">
                      <w:rPr>
                        <w:rFonts w:ascii="Arial" w:hAnsi="Arial" w:cs="Arial"/>
                        <w:color w:val="000000"/>
                        <w:sz w:val="21"/>
                        <w:szCs w:val="21"/>
                      </w:rPr>
                      <w:t>OFFICIAL</w:t>
                    </w:r>
                  </w:p>
                </w:txbxContent>
              </v:textbox>
              <w10:wrap anchorx="page" anchory="page"/>
            </v:shape>
          </w:pict>
        </mc:Fallback>
      </mc:AlternateContent>
    </w:r>
    <w:r w:rsidR="002F29BB" w:rsidRPr="002F29BB">
      <w:rPr>
        <w:rFonts w:ascii="Calibri" w:eastAsia="Calibri" w:hAnsi="Calibri" w:cs="Times New Roman"/>
        <w:noProof/>
        <w:sz w:val="22"/>
        <w:szCs w:val="22"/>
        <w:lang w:val="en-US"/>
      </w:rPr>
      <w:drawing>
        <wp:inline distT="0" distB="0" distL="0" distR="0" wp14:anchorId="50AA9010" wp14:editId="3BC879BB">
          <wp:extent cx="1476375" cy="533689"/>
          <wp:effectExtent l="0" t="0" r="0" b="0"/>
          <wp:docPr id="1920075382" name="Picture 192007538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7965" cy="552338"/>
                  </a:xfrm>
                  <a:prstGeom prst="rect">
                    <a:avLst/>
                  </a:prstGeom>
                  <a:noFill/>
                  <a:ln>
                    <a:noFill/>
                  </a:ln>
                </pic:spPr>
              </pic:pic>
            </a:graphicData>
          </a:graphic>
        </wp:inline>
      </w:drawing>
    </w:r>
  </w:p>
  <w:p w14:paraId="42CE939B" w14:textId="3C1C5788" w:rsidR="002F29BB" w:rsidRPr="002F29BB" w:rsidRDefault="002F29BB" w:rsidP="002F2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E53"/>
    <w:multiLevelType w:val="multilevel"/>
    <w:tmpl w:val="5DA60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D1F2C"/>
    <w:multiLevelType w:val="hybridMultilevel"/>
    <w:tmpl w:val="286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92635"/>
    <w:multiLevelType w:val="hybridMultilevel"/>
    <w:tmpl w:val="0AFCA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73D57"/>
    <w:multiLevelType w:val="multilevel"/>
    <w:tmpl w:val="D23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76221"/>
    <w:multiLevelType w:val="multilevel"/>
    <w:tmpl w:val="9DE4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440C8"/>
    <w:multiLevelType w:val="multilevel"/>
    <w:tmpl w:val="1AF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47073"/>
    <w:multiLevelType w:val="hybridMultilevel"/>
    <w:tmpl w:val="8D2E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41B54"/>
    <w:multiLevelType w:val="hybridMultilevel"/>
    <w:tmpl w:val="B712C7FA"/>
    <w:lvl w:ilvl="0" w:tplc="142C39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672DC0"/>
    <w:multiLevelType w:val="hybridMultilevel"/>
    <w:tmpl w:val="2EC24442"/>
    <w:lvl w:ilvl="0" w:tplc="D3DC6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006555">
    <w:abstractNumId w:val="7"/>
  </w:num>
  <w:num w:numId="2" w16cid:durableId="1475947415">
    <w:abstractNumId w:val="2"/>
  </w:num>
  <w:num w:numId="3" w16cid:durableId="2023243592">
    <w:abstractNumId w:val="8"/>
  </w:num>
  <w:num w:numId="4" w16cid:durableId="269708764">
    <w:abstractNumId w:val="1"/>
  </w:num>
  <w:num w:numId="5" w16cid:durableId="1611821230">
    <w:abstractNumId w:val="6"/>
  </w:num>
  <w:num w:numId="6" w16cid:durableId="653799489">
    <w:abstractNumId w:val="5"/>
  </w:num>
  <w:num w:numId="7" w16cid:durableId="489948632">
    <w:abstractNumId w:val="3"/>
  </w:num>
  <w:num w:numId="8" w16cid:durableId="1603873504">
    <w:abstractNumId w:val="4"/>
  </w:num>
  <w:num w:numId="9" w16cid:durableId="161652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BA"/>
    <w:rsid w:val="00000295"/>
    <w:rsid w:val="000019F2"/>
    <w:rsid w:val="00002376"/>
    <w:rsid w:val="00004229"/>
    <w:rsid w:val="00036B73"/>
    <w:rsid w:val="00063E20"/>
    <w:rsid w:val="00091511"/>
    <w:rsid w:val="000A4CF1"/>
    <w:rsid w:val="000D2294"/>
    <w:rsid w:val="000E11C0"/>
    <w:rsid w:val="00110B89"/>
    <w:rsid w:val="00114327"/>
    <w:rsid w:val="00121D11"/>
    <w:rsid w:val="0012367C"/>
    <w:rsid w:val="0013110A"/>
    <w:rsid w:val="00157877"/>
    <w:rsid w:val="00176A95"/>
    <w:rsid w:val="00180DF3"/>
    <w:rsid w:val="001817E0"/>
    <w:rsid w:val="00182DEC"/>
    <w:rsid w:val="001856EE"/>
    <w:rsid w:val="00185B59"/>
    <w:rsid w:val="001A3F70"/>
    <w:rsid w:val="001B5267"/>
    <w:rsid w:val="001C1135"/>
    <w:rsid w:val="001C2979"/>
    <w:rsid w:val="001E16F2"/>
    <w:rsid w:val="001E1DA1"/>
    <w:rsid w:val="001F2365"/>
    <w:rsid w:val="001F55C8"/>
    <w:rsid w:val="002072BD"/>
    <w:rsid w:val="0020791D"/>
    <w:rsid w:val="00215CAA"/>
    <w:rsid w:val="00220AA5"/>
    <w:rsid w:val="0023072A"/>
    <w:rsid w:val="00262E44"/>
    <w:rsid w:val="002643C4"/>
    <w:rsid w:val="0027054B"/>
    <w:rsid w:val="00283640"/>
    <w:rsid w:val="002862EC"/>
    <w:rsid w:val="002C2A4C"/>
    <w:rsid w:val="002E5537"/>
    <w:rsid w:val="002E68E0"/>
    <w:rsid w:val="002F29BB"/>
    <w:rsid w:val="002F7B4B"/>
    <w:rsid w:val="00307BED"/>
    <w:rsid w:val="00311538"/>
    <w:rsid w:val="0031488D"/>
    <w:rsid w:val="00322329"/>
    <w:rsid w:val="00346784"/>
    <w:rsid w:val="00361515"/>
    <w:rsid w:val="003677BD"/>
    <w:rsid w:val="00374187"/>
    <w:rsid w:val="003807A9"/>
    <w:rsid w:val="003B0DFC"/>
    <w:rsid w:val="003D039C"/>
    <w:rsid w:val="00410160"/>
    <w:rsid w:val="00461A92"/>
    <w:rsid w:val="0046433A"/>
    <w:rsid w:val="00465A75"/>
    <w:rsid w:val="004769E4"/>
    <w:rsid w:val="0048541F"/>
    <w:rsid w:val="004867D9"/>
    <w:rsid w:val="004A4989"/>
    <w:rsid w:val="004B1D47"/>
    <w:rsid w:val="004B1E54"/>
    <w:rsid w:val="004B74E8"/>
    <w:rsid w:val="004B782B"/>
    <w:rsid w:val="004C0F86"/>
    <w:rsid w:val="004D3983"/>
    <w:rsid w:val="004F6B5E"/>
    <w:rsid w:val="00510D7A"/>
    <w:rsid w:val="00536BEA"/>
    <w:rsid w:val="00544642"/>
    <w:rsid w:val="005529B1"/>
    <w:rsid w:val="005642EE"/>
    <w:rsid w:val="005711BD"/>
    <w:rsid w:val="005923FB"/>
    <w:rsid w:val="00593AC8"/>
    <w:rsid w:val="005A2329"/>
    <w:rsid w:val="005A3C50"/>
    <w:rsid w:val="005C5621"/>
    <w:rsid w:val="005C692B"/>
    <w:rsid w:val="005C7312"/>
    <w:rsid w:val="005E08CB"/>
    <w:rsid w:val="005E1C97"/>
    <w:rsid w:val="005E3942"/>
    <w:rsid w:val="005E4ED5"/>
    <w:rsid w:val="005E664A"/>
    <w:rsid w:val="0061323A"/>
    <w:rsid w:val="006135FE"/>
    <w:rsid w:val="0061616B"/>
    <w:rsid w:val="00621C33"/>
    <w:rsid w:val="006347CF"/>
    <w:rsid w:val="00651484"/>
    <w:rsid w:val="0065362A"/>
    <w:rsid w:val="00654D51"/>
    <w:rsid w:val="00666052"/>
    <w:rsid w:val="00681404"/>
    <w:rsid w:val="00690F57"/>
    <w:rsid w:val="006A0113"/>
    <w:rsid w:val="006A7CDA"/>
    <w:rsid w:val="006C1EE3"/>
    <w:rsid w:val="006C3588"/>
    <w:rsid w:val="006C40E8"/>
    <w:rsid w:val="006D2771"/>
    <w:rsid w:val="007050C3"/>
    <w:rsid w:val="00717212"/>
    <w:rsid w:val="007249BA"/>
    <w:rsid w:val="00725101"/>
    <w:rsid w:val="007257D4"/>
    <w:rsid w:val="00731EDC"/>
    <w:rsid w:val="00733ADB"/>
    <w:rsid w:val="007470CE"/>
    <w:rsid w:val="00750BC0"/>
    <w:rsid w:val="00757A28"/>
    <w:rsid w:val="00757C43"/>
    <w:rsid w:val="00765C80"/>
    <w:rsid w:val="00772E5E"/>
    <w:rsid w:val="00782BB9"/>
    <w:rsid w:val="007876E2"/>
    <w:rsid w:val="007A752A"/>
    <w:rsid w:val="007B3890"/>
    <w:rsid w:val="007B7600"/>
    <w:rsid w:val="007B7E16"/>
    <w:rsid w:val="007D0E5B"/>
    <w:rsid w:val="007D2D95"/>
    <w:rsid w:val="007E177A"/>
    <w:rsid w:val="007F09EC"/>
    <w:rsid w:val="007F39BD"/>
    <w:rsid w:val="00801CC4"/>
    <w:rsid w:val="008576D7"/>
    <w:rsid w:val="00874D18"/>
    <w:rsid w:val="00894DB9"/>
    <w:rsid w:val="008D3CF9"/>
    <w:rsid w:val="008F6422"/>
    <w:rsid w:val="009174B3"/>
    <w:rsid w:val="00925118"/>
    <w:rsid w:val="00930CA5"/>
    <w:rsid w:val="0099114E"/>
    <w:rsid w:val="009A201F"/>
    <w:rsid w:val="009A70B8"/>
    <w:rsid w:val="009B62B4"/>
    <w:rsid w:val="009C1DFD"/>
    <w:rsid w:val="009D18BD"/>
    <w:rsid w:val="009D3267"/>
    <w:rsid w:val="009D4FC6"/>
    <w:rsid w:val="009F1BE4"/>
    <w:rsid w:val="009F527D"/>
    <w:rsid w:val="00A05E28"/>
    <w:rsid w:val="00A15877"/>
    <w:rsid w:val="00A32E22"/>
    <w:rsid w:val="00A47D08"/>
    <w:rsid w:val="00A6524A"/>
    <w:rsid w:val="00A67A2F"/>
    <w:rsid w:val="00A77890"/>
    <w:rsid w:val="00AA4C5A"/>
    <w:rsid w:val="00AA5B18"/>
    <w:rsid w:val="00AA67B0"/>
    <w:rsid w:val="00AB22AF"/>
    <w:rsid w:val="00AC19A9"/>
    <w:rsid w:val="00AD154D"/>
    <w:rsid w:val="00AD7672"/>
    <w:rsid w:val="00B04E96"/>
    <w:rsid w:val="00B10D09"/>
    <w:rsid w:val="00B2765E"/>
    <w:rsid w:val="00B3637B"/>
    <w:rsid w:val="00B434A6"/>
    <w:rsid w:val="00B4445D"/>
    <w:rsid w:val="00B52432"/>
    <w:rsid w:val="00B63C3B"/>
    <w:rsid w:val="00B76ED8"/>
    <w:rsid w:val="00B94B3E"/>
    <w:rsid w:val="00B970A8"/>
    <w:rsid w:val="00BA1E2B"/>
    <w:rsid w:val="00BA3BDF"/>
    <w:rsid w:val="00BB2C39"/>
    <w:rsid w:val="00BD212B"/>
    <w:rsid w:val="00BF1D26"/>
    <w:rsid w:val="00C05CC0"/>
    <w:rsid w:val="00C50608"/>
    <w:rsid w:val="00C57796"/>
    <w:rsid w:val="00C96676"/>
    <w:rsid w:val="00CB7E2E"/>
    <w:rsid w:val="00CC3765"/>
    <w:rsid w:val="00CC6741"/>
    <w:rsid w:val="00CD491F"/>
    <w:rsid w:val="00CD4BDA"/>
    <w:rsid w:val="00CD5500"/>
    <w:rsid w:val="00CD67A7"/>
    <w:rsid w:val="00CE4AEA"/>
    <w:rsid w:val="00CF58AD"/>
    <w:rsid w:val="00CF7318"/>
    <w:rsid w:val="00D1339D"/>
    <w:rsid w:val="00D2466B"/>
    <w:rsid w:val="00D3540E"/>
    <w:rsid w:val="00D47ACC"/>
    <w:rsid w:val="00D53D59"/>
    <w:rsid w:val="00D90926"/>
    <w:rsid w:val="00D9438F"/>
    <w:rsid w:val="00DA11BD"/>
    <w:rsid w:val="00DA1A43"/>
    <w:rsid w:val="00DC44E3"/>
    <w:rsid w:val="00DE6E54"/>
    <w:rsid w:val="00E07B20"/>
    <w:rsid w:val="00E23339"/>
    <w:rsid w:val="00E24EC2"/>
    <w:rsid w:val="00E302C4"/>
    <w:rsid w:val="00E33EA9"/>
    <w:rsid w:val="00E36B2D"/>
    <w:rsid w:val="00E54AEC"/>
    <w:rsid w:val="00E6114F"/>
    <w:rsid w:val="00E6243E"/>
    <w:rsid w:val="00E80A34"/>
    <w:rsid w:val="00E95625"/>
    <w:rsid w:val="00EA0C02"/>
    <w:rsid w:val="00EA7A4A"/>
    <w:rsid w:val="00EC0FE4"/>
    <w:rsid w:val="00EC14F7"/>
    <w:rsid w:val="00EC2519"/>
    <w:rsid w:val="00F149D8"/>
    <w:rsid w:val="00F243E7"/>
    <w:rsid w:val="00F52594"/>
    <w:rsid w:val="00F64ED1"/>
    <w:rsid w:val="00F81175"/>
    <w:rsid w:val="00F81E0D"/>
    <w:rsid w:val="00F85DF0"/>
    <w:rsid w:val="00FB2609"/>
    <w:rsid w:val="00FB3C5B"/>
    <w:rsid w:val="00FB5824"/>
    <w:rsid w:val="00FD194C"/>
    <w:rsid w:val="00FD3D7B"/>
    <w:rsid w:val="00FE11C0"/>
    <w:rsid w:val="00FE7808"/>
    <w:rsid w:val="00FF1012"/>
    <w:rsid w:val="01D0DD60"/>
    <w:rsid w:val="0F12E32E"/>
    <w:rsid w:val="3676BDD8"/>
    <w:rsid w:val="3762B9A6"/>
    <w:rsid w:val="3DF789A6"/>
    <w:rsid w:val="4558761E"/>
    <w:rsid w:val="51E5086E"/>
    <w:rsid w:val="54A5A37F"/>
    <w:rsid w:val="621A3E74"/>
    <w:rsid w:val="63EE990B"/>
    <w:rsid w:val="647471D1"/>
    <w:rsid w:val="661D9BDA"/>
    <w:rsid w:val="6CBE9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1F24"/>
  <w15:chartTrackingRefBased/>
  <w15:docId w15:val="{E2C7C101-CF52-440F-9DAA-08C6DEE5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4A6"/>
    <w:rPr>
      <w:rFonts w:ascii="Arial" w:hAnsi="Arial"/>
      <w:color w:val="0081C6"/>
      <w:u w:val="single"/>
    </w:rPr>
  </w:style>
  <w:style w:type="character" w:styleId="UnresolvedMention">
    <w:name w:val="Unresolved Mention"/>
    <w:basedOn w:val="DefaultParagraphFont"/>
    <w:uiPriority w:val="99"/>
    <w:semiHidden/>
    <w:unhideWhenUsed/>
    <w:rsid w:val="0013110A"/>
    <w:rPr>
      <w:color w:val="605E5C"/>
      <w:shd w:val="clear" w:color="auto" w:fill="E1DFDD"/>
    </w:rPr>
  </w:style>
  <w:style w:type="character" w:styleId="CommentReference">
    <w:name w:val="annotation reference"/>
    <w:basedOn w:val="DefaultParagraphFont"/>
    <w:uiPriority w:val="99"/>
    <w:semiHidden/>
    <w:unhideWhenUsed/>
    <w:rsid w:val="002F7B4B"/>
    <w:rPr>
      <w:sz w:val="16"/>
      <w:szCs w:val="16"/>
    </w:rPr>
  </w:style>
  <w:style w:type="paragraph" w:styleId="CommentText">
    <w:name w:val="annotation text"/>
    <w:basedOn w:val="Normal"/>
    <w:link w:val="CommentTextChar"/>
    <w:uiPriority w:val="99"/>
    <w:semiHidden/>
    <w:unhideWhenUsed/>
    <w:rsid w:val="002F7B4B"/>
    <w:pPr>
      <w:spacing w:after="160"/>
    </w:pPr>
    <w:rPr>
      <w:rFonts w:asciiTheme="minorHAnsi" w:eastAsiaTheme="minorHAnsi" w:hAnsiTheme="minorHAnsi" w:cstheme="minorHAnsi"/>
      <w:sz w:val="20"/>
      <w:szCs w:val="20"/>
    </w:rPr>
  </w:style>
  <w:style w:type="character" w:customStyle="1" w:styleId="CommentTextChar">
    <w:name w:val="Comment Text Char"/>
    <w:basedOn w:val="DefaultParagraphFont"/>
    <w:link w:val="CommentText"/>
    <w:uiPriority w:val="99"/>
    <w:semiHidden/>
    <w:rsid w:val="002F7B4B"/>
  </w:style>
  <w:style w:type="paragraph" w:styleId="CommentSubject">
    <w:name w:val="annotation subject"/>
    <w:basedOn w:val="CommentText"/>
    <w:next w:val="CommentText"/>
    <w:link w:val="CommentSubjectChar"/>
    <w:uiPriority w:val="99"/>
    <w:semiHidden/>
    <w:unhideWhenUsed/>
    <w:rsid w:val="002F7B4B"/>
    <w:rPr>
      <w:b/>
      <w:bCs/>
    </w:rPr>
  </w:style>
  <w:style w:type="character" w:customStyle="1" w:styleId="CommentSubjectChar">
    <w:name w:val="Comment Subject Char"/>
    <w:basedOn w:val="CommentTextChar"/>
    <w:link w:val="CommentSubject"/>
    <w:uiPriority w:val="99"/>
    <w:semiHidden/>
    <w:rsid w:val="002F7B4B"/>
    <w:rPr>
      <w:b/>
      <w:bCs/>
    </w:rPr>
  </w:style>
  <w:style w:type="paragraph" w:styleId="BalloonText">
    <w:name w:val="Balloon Text"/>
    <w:basedOn w:val="Normal"/>
    <w:link w:val="BalloonTextChar"/>
    <w:uiPriority w:val="99"/>
    <w:semiHidden/>
    <w:unhideWhenUsed/>
    <w:rsid w:val="002F7B4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F7B4B"/>
    <w:rPr>
      <w:rFonts w:ascii="Segoe UI" w:hAnsi="Segoe UI" w:cs="Segoe UI"/>
      <w:sz w:val="18"/>
      <w:szCs w:val="18"/>
    </w:rPr>
  </w:style>
  <w:style w:type="paragraph" w:styleId="ListParagraph">
    <w:name w:val="List Paragraph"/>
    <w:basedOn w:val="Normal"/>
    <w:uiPriority w:val="34"/>
    <w:qFormat/>
    <w:rsid w:val="00750BC0"/>
    <w:pPr>
      <w:spacing w:after="160" w:line="259" w:lineRule="auto"/>
      <w:ind w:left="720"/>
      <w:contextualSpacing/>
    </w:pPr>
    <w:rPr>
      <w:rFonts w:asciiTheme="minorHAnsi" w:eastAsiaTheme="minorHAnsi" w:hAnsiTheme="minorHAnsi" w:cstheme="minorHAnsi"/>
      <w:sz w:val="20"/>
      <w:szCs w:val="20"/>
    </w:rPr>
  </w:style>
  <w:style w:type="paragraph" w:styleId="Header">
    <w:name w:val="header"/>
    <w:basedOn w:val="Normal"/>
    <w:link w:val="HeaderChar"/>
    <w:uiPriority w:val="99"/>
    <w:unhideWhenUsed/>
    <w:rsid w:val="002F29BB"/>
    <w:pPr>
      <w:tabs>
        <w:tab w:val="center" w:pos="4513"/>
        <w:tab w:val="right" w:pos="9026"/>
      </w:tabs>
    </w:pPr>
    <w:rPr>
      <w:rFonts w:asciiTheme="minorHAnsi" w:eastAsiaTheme="minorHAnsi" w:hAnsiTheme="minorHAnsi" w:cstheme="minorHAnsi"/>
      <w:sz w:val="20"/>
      <w:szCs w:val="20"/>
    </w:rPr>
  </w:style>
  <w:style w:type="character" w:customStyle="1" w:styleId="HeaderChar">
    <w:name w:val="Header Char"/>
    <w:basedOn w:val="DefaultParagraphFont"/>
    <w:link w:val="Header"/>
    <w:uiPriority w:val="99"/>
    <w:rsid w:val="002F29BB"/>
  </w:style>
  <w:style w:type="paragraph" w:styleId="Footer">
    <w:name w:val="footer"/>
    <w:basedOn w:val="Normal"/>
    <w:link w:val="FooterChar"/>
    <w:uiPriority w:val="99"/>
    <w:unhideWhenUsed/>
    <w:rsid w:val="002F29BB"/>
    <w:pPr>
      <w:tabs>
        <w:tab w:val="center" w:pos="4513"/>
        <w:tab w:val="right" w:pos="9026"/>
      </w:tabs>
    </w:pPr>
    <w:rPr>
      <w:rFonts w:asciiTheme="minorHAnsi" w:eastAsiaTheme="minorHAnsi" w:hAnsiTheme="minorHAnsi" w:cstheme="minorHAnsi"/>
      <w:sz w:val="20"/>
      <w:szCs w:val="20"/>
    </w:rPr>
  </w:style>
  <w:style w:type="character" w:customStyle="1" w:styleId="FooterChar">
    <w:name w:val="Footer Char"/>
    <w:basedOn w:val="DefaultParagraphFont"/>
    <w:link w:val="Footer"/>
    <w:uiPriority w:val="99"/>
    <w:rsid w:val="002F29BB"/>
  </w:style>
  <w:style w:type="paragraph" w:styleId="Revision">
    <w:name w:val="Revision"/>
    <w:hidden/>
    <w:uiPriority w:val="99"/>
    <w:semiHidden/>
    <w:rsid w:val="00757A2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114F"/>
  </w:style>
  <w:style w:type="character" w:customStyle="1" w:styleId="eop">
    <w:name w:val="eop"/>
    <w:basedOn w:val="DefaultParagraphFont"/>
    <w:rsid w:val="00E6114F"/>
  </w:style>
  <w:style w:type="character" w:styleId="FollowedHyperlink">
    <w:name w:val="FollowedHyperlink"/>
    <w:basedOn w:val="DefaultParagraphFont"/>
    <w:uiPriority w:val="99"/>
    <w:unhideWhenUsed/>
    <w:rsid w:val="00B434A6"/>
    <w:rPr>
      <w:rFonts w:ascii="Arial" w:hAnsi="Arial"/>
      <w:color w:val="000000" w:themeColor="text1"/>
      <w:u w:val="single"/>
    </w:rPr>
  </w:style>
  <w:style w:type="paragraph" w:styleId="NormalWeb">
    <w:name w:val="Normal (Web)"/>
    <w:basedOn w:val="Normal"/>
    <w:uiPriority w:val="99"/>
    <w:semiHidden/>
    <w:unhideWhenUsed/>
    <w:rsid w:val="007D0E5B"/>
  </w:style>
  <w:style w:type="paragraph" w:styleId="FootnoteText">
    <w:name w:val="footnote text"/>
    <w:basedOn w:val="Normal"/>
    <w:link w:val="FootnoteTextChar"/>
    <w:uiPriority w:val="99"/>
    <w:semiHidden/>
    <w:unhideWhenUsed/>
    <w:rsid w:val="00F149D8"/>
    <w:rPr>
      <w:sz w:val="20"/>
      <w:szCs w:val="20"/>
    </w:rPr>
  </w:style>
  <w:style w:type="character" w:customStyle="1" w:styleId="FootnoteTextChar">
    <w:name w:val="Footnote Text Char"/>
    <w:basedOn w:val="DefaultParagraphFont"/>
    <w:link w:val="FootnoteText"/>
    <w:uiPriority w:val="99"/>
    <w:semiHidden/>
    <w:rsid w:val="00F149D8"/>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F149D8"/>
    <w:rPr>
      <w:vertAlign w:val="superscript"/>
    </w:rPr>
  </w:style>
  <w:style w:type="character" w:styleId="PageNumber">
    <w:name w:val="page number"/>
    <w:basedOn w:val="DefaultParagraphFont"/>
    <w:uiPriority w:val="99"/>
    <w:semiHidden/>
    <w:unhideWhenUsed/>
    <w:rsid w:val="004C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095">
      <w:bodyDiv w:val="1"/>
      <w:marLeft w:val="0"/>
      <w:marRight w:val="0"/>
      <w:marTop w:val="0"/>
      <w:marBottom w:val="0"/>
      <w:divBdr>
        <w:top w:val="none" w:sz="0" w:space="0" w:color="auto"/>
        <w:left w:val="none" w:sz="0" w:space="0" w:color="auto"/>
        <w:bottom w:val="none" w:sz="0" w:space="0" w:color="auto"/>
        <w:right w:val="none" w:sz="0" w:space="0" w:color="auto"/>
      </w:divBdr>
    </w:div>
    <w:div w:id="255410715">
      <w:bodyDiv w:val="1"/>
      <w:marLeft w:val="0"/>
      <w:marRight w:val="0"/>
      <w:marTop w:val="0"/>
      <w:marBottom w:val="0"/>
      <w:divBdr>
        <w:top w:val="none" w:sz="0" w:space="0" w:color="auto"/>
        <w:left w:val="none" w:sz="0" w:space="0" w:color="auto"/>
        <w:bottom w:val="none" w:sz="0" w:space="0" w:color="auto"/>
        <w:right w:val="none" w:sz="0" w:space="0" w:color="auto"/>
      </w:divBdr>
      <w:divsChild>
        <w:div w:id="1067729615">
          <w:marLeft w:val="0"/>
          <w:marRight w:val="0"/>
          <w:marTop w:val="0"/>
          <w:marBottom w:val="0"/>
          <w:divBdr>
            <w:top w:val="none" w:sz="0" w:space="0" w:color="auto"/>
            <w:left w:val="none" w:sz="0" w:space="0" w:color="auto"/>
            <w:bottom w:val="none" w:sz="0" w:space="0" w:color="auto"/>
            <w:right w:val="none" w:sz="0" w:space="0" w:color="auto"/>
          </w:divBdr>
          <w:divsChild>
            <w:div w:id="2001695517">
              <w:marLeft w:val="0"/>
              <w:marRight w:val="0"/>
              <w:marTop w:val="0"/>
              <w:marBottom w:val="0"/>
              <w:divBdr>
                <w:top w:val="none" w:sz="0" w:space="0" w:color="auto"/>
                <w:left w:val="none" w:sz="0" w:space="0" w:color="auto"/>
                <w:bottom w:val="none" w:sz="0" w:space="0" w:color="auto"/>
                <w:right w:val="none" w:sz="0" w:space="0" w:color="auto"/>
              </w:divBdr>
              <w:divsChild>
                <w:div w:id="17622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2976">
      <w:bodyDiv w:val="1"/>
      <w:marLeft w:val="0"/>
      <w:marRight w:val="0"/>
      <w:marTop w:val="0"/>
      <w:marBottom w:val="0"/>
      <w:divBdr>
        <w:top w:val="none" w:sz="0" w:space="0" w:color="auto"/>
        <w:left w:val="none" w:sz="0" w:space="0" w:color="auto"/>
        <w:bottom w:val="none" w:sz="0" w:space="0" w:color="auto"/>
        <w:right w:val="none" w:sz="0" w:space="0" w:color="auto"/>
      </w:divBdr>
      <w:divsChild>
        <w:div w:id="194659226">
          <w:marLeft w:val="0"/>
          <w:marRight w:val="0"/>
          <w:marTop w:val="0"/>
          <w:marBottom w:val="0"/>
          <w:divBdr>
            <w:top w:val="none" w:sz="0" w:space="0" w:color="auto"/>
            <w:left w:val="none" w:sz="0" w:space="0" w:color="auto"/>
            <w:bottom w:val="none" w:sz="0" w:space="0" w:color="auto"/>
            <w:right w:val="none" w:sz="0" w:space="0" w:color="auto"/>
          </w:divBdr>
          <w:divsChild>
            <w:div w:id="64112945">
              <w:marLeft w:val="0"/>
              <w:marRight w:val="0"/>
              <w:marTop w:val="0"/>
              <w:marBottom w:val="0"/>
              <w:divBdr>
                <w:top w:val="none" w:sz="0" w:space="0" w:color="auto"/>
                <w:left w:val="none" w:sz="0" w:space="0" w:color="auto"/>
                <w:bottom w:val="none" w:sz="0" w:space="0" w:color="auto"/>
                <w:right w:val="none" w:sz="0" w:space="0" w:color="auto"/>
              </w:divBdr>
              <w:divsChild>
                <w:div w:id="13973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7564">
      <w:bodyDiv w:val="1"/>
      <w:marLeft w:val="0"/>
      <w:marRight w:val="0"/>
      <w:marTop w:val="0"/>
      <w:marBottom w:val="0"/>
      <w:divBdr>
        <w:top w:val="none" w:sz="0" w:space="0" w:color="auto"/>
        <w:left w:val="none" w:sz="0" w:space="0" w:color="auto"/>
        <w:bottom w:val="none" w:sz="0" w:space="0" w:color="auto"/>
        <w:right w:val="none" w:sz="0" w:space="0" w:color="auto"/>
      </w:divBdr>
    </w:div>
    <w:div w:id="678315873">
      <w:bodyDiv w:val="1"/>
      <w:marLeft w:val="0"/>
      <w:marRight w:val="0"/>
      <w:marTop w:val="0"/>
      <w:marBottom w:val="0"/>
      <w:divBdr>
        <w:top w:val="none" w:sz="0" w:space="0" w:color="auto"/>
        <w:left w:val="none" w:sz="0" w:space="0" w:color="auto"/>
        <w:bottom w:val="none" w:sz="0" w:space="0" w:color="auto"/>
        <w:right w:val="none" w:sz="0" w:space="0" w:color="auto"/>
      </w:divBdr>
      <w:divsChild>
        <w:div w:id="226840912">
          <w:marLeft w:val="0"/>
          <w:marRight w:val="0"/>
          <w:marTop w:val="0"/>
          <w:marBottom w:val="0"/>
          <w:divBdr>
            <w:top w:val="none" w:sz="0" w:space="0" w:color="auto"/>
            <w:left w:val="none" w:sz="0" w:space="0" w:color="auto"/>
            <w:bottom w:val="none" w:sz="0" w:space="0" w:color="auto"/>
            <w:right w:val="none" w:sz="0" w:space="0" w:color="auto"/>
          </w:divBdr>
          <w:divsChild>
            <w:div w:id="573664967">
              <w:marLeft w:val="0"/>
              <w:marRight w:val="0"/>
              <w:marTop w:val="0"/>
              <w:marBottom w:val="0"/>
              <w:divBdr>
                <w:top w:val="none" w:sz="0" w:space="0" w:color="auto"/>
                <w:left w:val="none" w:sz="0" w:space="0" w:color="auto"/>
                <w:bottom w:val="none" w:sz="0" w:space="0" w:color="auto"/>
                <w:right w:val="none" w:sz="0" w:space="0" w:color="auto"/>
              </w:divBdr>
              <w:divsChild>
                <w:div w:id="1115751111">
                  <w:marLeft w:val="0"/>
                  <w:marRight w:val="0"/>
                  <w:marTop w:val="0"/>
                  <w:marBottom w:val="0"/>
                  <w:divBdr>
                    <w:top w:val="none" w:sz="0" w:space="0" w:color="auto"/>
                    <w:left w:val="none" w:sz="0" w:space="0" w:color="auto"/>
                    <w:bottom w:val="none" w:sz="0" w:space="0" w:color="auto"/>
                    <w:right w:val="none" w:sz="0" w:space="0" w:color="auto"/>
                  </w:divBdr>
                </w:div>
              </w:divsChild>
            </w:div>
            <w:div w:id="124785756">
              <w:marLeft w:val="0"/>
              <w:marRight w:val="0"/>
              <w:marTop w:val="0"/>
              <w:marBottom w:val="0"/>
              <w:divBdr>
                <w:top w:val="none" w:sz="0" w:space="0" w:color="auto"/>
                <w:left w:val="none" w:sz="0" w:space="0" w:color="auto"/>
                <w:bottom w:val="none" w:sz="0" w:space="0" w:color="auto"/>
                <w:right w:val="none" w:sz="0" w:space="0" w:color="auto"/>
              </w:divBdr>
              <w:divsChild>
                <w:div w:id="18592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2317">
          <w:marLeft w:val="0"/>
          <w:marRight w:val="0"/>
          <w:marTop w:val="0"/>
          <w:marBottom w:val="0"/>
          <w:divBdr>
            <w:top w:val="none" w:sz="0" w:space="0" w:color="auto"/>
            <w:left w:val="none" w:sz="0" w:space="0" w:color="auto"/>
            <w:bottom w:val="none" w:sz="0" w:space="0" w:color="auto"/>
            <w:right w:val="none" w:sz="0" w:space="0" w:color="auto"/>
          </w:divBdr>
          <w:divsChild>
            <w:div w:id="414789202">
              <w:marLeft w:val="0"/>
              <w:marRight w:val="0"/>
              <w:marTop w:val="0"/>
              <w:marBottom w:val="0"/>
              <w:divBdr>
                <w:top w:val="none" w:sz="0" w:space="0" w:color="auto"/>
                <w:left w:val="none" w:sz="0" w:space="0" w:color="auto"/>
                <w:bottom w:val="none" w:sz="0" w:space="0" w:color="auto"/>
                <w:right w:val="none" w:sz="0" w:space="0" w:color="auto"/>
              </w:divBdr>
              <w:divsChild>
                <w:div w:id="1587567386">
                  <w:marLeft w:val="0"/>
                  <w:marRight w:val="0"/>
                  <w:marTop w:val="0"/>
                  <w:marBottom w:val="0"/>
                  <w:divBdr>
                    <w:top w:val="none" w:sz="0" w:space="0" w:color="auto"/>
                    <w:left w:val="none" w:sz="0" w:space="0" w:color="auto"/>
                    <w:bottom w:val="none" w:sz="0" w:space="0" w:color="auto"/>
                    <w:right w:val="none" w:sz="0" w:space="0" w:color="auto"/>
                  </w:divBdr>
                </w:div>
              </w:divsChild>
            </w:div>
            <w:div w:id="2070422927">
              <w:marLeft w:val="0"/>
              <w:marRight w:val="0"/>
              <w:marTop w:val="0"/>
              <w:marBottom w:val="0"/>
              <w:divBdr>
                <w:top w:val="none" w:sz="0" w:space="0" w:color="auto"/>
                <w:left w:val="none" w:sz="0" w:space="0" w:color="auto"/>
                <w:bottom w:val="none" w:sz="0" w:space="0" w:color="auto"/>
                <w:right w:val="none" w:sz="0" w:space="0" w:color="auto"/>
              </w:divBdr>
              <w:divsChild>
                <w:div w:id="5496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7739">
          <w:marLeft w:val="0"/>
          <w:marRight w:val="0"/>
          <w:marTop w:val="0"/>
          <w:marBottom w:val="0"/>
          <w:divBdr>
            <w:top w:val="none" w:sz="0" w:space="0" w:color="auto"/>
            <w:left w:val="none" w:sz="0" w:space="0" w:color="auto"/>
            <w:bottom w:val="none" w:sz="0" w:space="0" w:color="auto"/>
            <w:right w:val="none" w:sz="0" w:space="0" w:color="auto"/>
          </w:divBdr>
          <w:divsChild>
            <w:div w:id="1625696430">
              <w:marLeft w:val="0"/>
              <w:marRight w:val="0"/>
              <w:marTop w:val="0"/>
              <w:marBottom w:val="0"/>
              <w:divBdr>
                <w:top w:val="none" w:sz="0" w:space="0" w:color="auto"/>
                <w:left w:val="none" w:sz="0" w:space="0" w:color="auto"/>
                <w:bottom w:val="none" w:sz="0" w:space="0" w:color="auto"/>
                <w:right w:val="none" w:sz="0" w:space="0" w:color="auto"/>
              </w:divBdr>
              <w:divsChild>
                <w:div w:id="1273855561">
                  <w:marLeft w:val="0"/>
                  <w:marRight w:val="0"/>
                  <w:marTop w:val="0"/>
                  <w:marBottom w:val="0"/>
                  <w:divBdr>
                    <w:top w:val="none" w:sz="0" w:space="0" w:color="auto"/>
                    <w:left w:val="none" w:sz="0" w:space="0" w:color="auto"/>
                    <w:bottom w:val="none" w:sz="0" w:space="0" w:color="auto"/>
                    <w:right w:val="none" w:sz="0" w:space="0" w:color="auto"/>
                  </w:divBdr>
                </w:div>
              </w:divsChild>
            </w:div>
            <w:div w:id="1941333675">
              <w:marLeft w:val="0"/>
              <w:marRight w:val="0"/>
              <w:marTop w:val="0"/>
              <w:marBottom w:val="0"/>
              <w:divBdr>
                <w:top w:val="none" w:sz="0" w:space="0" w:color="auto"/>
                <w:left w:val="none" w:sz="0" w:space="0" w:color="auto"/>
                <w:bottom w:val="none" w:sz="0" w:space="0" w:color="auto"/>
                <w:right w:val="none" w:sz="0" w:space="0" w:color="auto"/>
              </w:divBdr>
              <w:divsChild>
                <w:div w:id="10708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9179">
          <w:marLeft w:val="0"/>
          <w:marRight w:val="0"/>
          <w:marTop w:val="0"/>
          <w:marBottom w:val="0"/>
          <w:divBdr>
            <w:top w:val="none" w:sz="0" w:space="0" w:color="auto"/>
            <w:left w:val="none" w:sz="0" w:space="0" w:color="auto"/>
            <w:bottom w:val="none" w:sz="0" w:space="0" w:color="auto"/>
            <w:right w:val="none" w:sz="0" w:space="0" w:color="auto"/>
          </w:divBdr>
          <w:divsChild>
            <w:div w:id="2140995762">
              <w:marLeft w:val="0"/>
              <w:marRight w:val="0"/>
              <w:marTop w:val="0"/>
              <w:marBottom w:val="0"/>
              <w:divBdr>
                <w:top w:val="none" w:sz="0" w:space="0" w:color="auto"/>
                <w:left w:val="none" w:sz="0" w:space="0" w:color="auto"/>
                <w:bottom w:val="none" w:sz="0" w:space="0" w:color="auto"/>
                <w:right w:val="none" w:sz="0" w:space="0" w:color="auto"/>
              </w:divBdr>
              <w:divsChild>
                <w:div w:id="1124153144">
                  <w:marLeft w:val="0"/>
                  <w:marRight w:val="0"/>
                  <w:marTop w:val="0"/>
                  <w:marBottom w:val="0"/>
                  <w:divBdr>
                    <w:top w:val="none" w:sz="0" w:space="0" w:color="auto"/>
                    <w:left w:val="none" w:sz="0" w:space="0" w:color="auto"/>
                    <w:bottom w:val="none" w:sz="0" w:space="0" w:color="auto"/>
                    <w:right w:val="none" w:sz="0" w:space="0" w:color="auto"/>
                  </w:divBdr>
                </w:div>
              </w:divsChild>
            </w:div>
            <w:div w:id="1347051335">
              <w:marLeft w:val="0"/>
              <w:marRight w:val="0"/>
              <w:marTop w:val="0"/>
              <w:marBottom w:val="0"/>
              <w:divBdr>
                <w:top w:val="none" w:sz="0" w:space="0" w:color="auto"/>
                <w:left w:val="none" w:sz="0" w:space="0" w:color="auto"/>
                <w:bottom w:val="none" w:sz="0" w:space="0" w:color="auto"/>
                <w:right w:val="none" w:sz="0" w:space="0" w:color="auto"/>
              </w:divBdr>
              <w:divsChild>
                <w:div w:id="8822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sChild>
        <w:div w:id="1794712116">
          <w:marLeft w:val="0"/>
          <w:marRight w:val="0"/>
          <w:marTop w:val="0"/>
          <w:marBottom w:val="0"/>
          <w:divBdr>
            <w:top w:val="none" w:sz="0" w:space="0" w:color="auto"/>
            <w:left w:val="none" w:sz="0" w:space="0" w:color="auto"/>
            <w:bottom w:val="none" w:sz="0" w:space="0" w:color="auto"/>
            <w:right w:val="none" w:sz="0" w:space="0" w:color="auto"/>
          </w:divBdr>
          <w:divsChild>
            <w:div w:id="892691839">
              <w:marLeft w:val="0"/>
              <w:marRight w:val="0"/>
              <w:marTop w:val="0"/>
              <w:marBottom w:val="0"/>
              <w:divBdr>
                <w:top w:val="none" w:sz="0" w:space="0" w:color="auto"/>
                <w:left w:val="none" w:sz="0" w:space="0" w:color="auto"/>
                <w:bottom w:val="none" w:sz="0" w:space="0" w:color="auto"/>
                <w:right w:val="none" w:sz="0" w:space="0" w:color="auto"/>
              </w:divBdr>
              <w:divsChild>
                <w:div w:id="6785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0557">
      <w:bodyDiv w:val="1"/>
      <w:marLeft w:val="0"/>
      <w:marRight w:val="0"/>
      <w:marTop w:val="0"/>
      <w:marBottom w:val="0"/>
      <w:divBdr>
        <w:top w:val="none" w:sz="0" w:space="0" w:color="auto"/>
        <w:left w:val="none" w:sz="0" w:space="0" w:color="auto"/>
        <w:bottom w:val="none" w:sz="0" w:space="0" w:color="auto"/>
        <w:right w:val="none" w:sz="0" w:space="0" w:color="auto"/>
      </w:divBdr>
    </w:div>
    <w:div w:id="916325987">
      <w:bodyDiv w:val="1"/>
      <w:marLeft w:val="0"/>
      <w:marRight w:val="0"/>
      <w:marTop w:val="0"/>
      <w:marBottom w:val="0"/>
      <w:divBdr>
        <w:top w:val="none" w:sz="0" w:space="0" w:color="auto"/>
        <w:left w:val="none" w:sz="0" w:space="0" w:color="auto"/>
        <w:bottom w:val="none" w:sz="0" w:space="0" w:color="auto"/>
        <w:right w:val="none" w:sz="0" w:space="0" w:color="auto"/>
      </w:divBdr>
    </w:div>
    <w:div w:id="925765482">
      <w:bodyDiv w:val="1"/>
      <w:marLeft w:val="0"/>
      <w:marRight w:val="0"/>
      <w:marTop w:val="0"/>
      <w:marBottom w:val="0"/>
      <w:divBdr>
        <w:top w:val="none" w:sz="0" w:space="0" w:color="auto"/>
        <w:left w:val="none" w:sz="0" w:space="0" w:color="auto"/>
        <w:bottom w:val="none" w:sz="0" w:space="0" w:color="auto"/>
        <w:right w:val="none" w:sz="0" w:space="0" w:color="auto"/>
      </w:divBdr>
      <w:divsChild>
        <w:div w:id="350299143">
          <w:marLeft w:val="0"/>
          <w:marRight w:val="0"/>
          <w:marTop w:val="0"/>
          <w:marBottom w:val="0"/>
          <w:divBdr>
            <w:top w:val="none" w:sz="0" w:space="0" w:color="auto"/>
            <w:left w:val="none" w:sz="0" w:space="0" w:color="auto"/>
            <w:bottom w:val="none" w:sz="0" w:space="0" w:color="auto"/>
            <w:right w:val="none" w:sz="0" w:space="0" w:color="auto"/>
          </w:divBdr>
          <w:divsChild>
            <w:div w:id="23869805">
              <w:marLeft w:val="0"/>
              <w:marRight w:val="0"/>
              <w:marTop w:val="0"/>
              <w:marBottom w:val="0"/>
              <w:divBdr>
                <w:top w:val="none" w:sz="0" w:space="0" w:color="auto"/>
                <w:left w:val="none" w:sz="0" w:space="0" w:color="auto"/>
                <w:bottom w:val="none" w:sz="0" w:space="0" w:color="auto"/>
                <w:right w:val="none" w:sz="0" w:space="0" w:color="auto"/>
              </w:divBdr>
              <w:divsChild>
                <w:div w:id="624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5658">
      <w:bodyDiv w:val="1"/>
      <w:marLeft w:val="0"/>
      <w:marRight w:val="0"/>
      <w:marTop w:val="0"/>
      <w:marBottom w:val="0"/>
      <w:divBdr>
        <w:top w:val="none" w:sz="0" w:space="0" w:color="auto"/>
        <w:left w:val="none" w:sz="0" w:space="0" w:color="auto"/>
        <w:bottom w:val="none" w:sz="0" w:space="0" w:color="auto"/>
        <w:right w:val="none" w:sz="0" w:space="0" w:color="auto"/>
      </w:divBdr>
      <w:divsChild>
        <w:div w:id="769082374">
          <w:marLeft w:val="0"/>
          <w:marRight w:val="0"/>
          <w:marTop w:val="0"/>
          <w:marBottom w:val="0"/>
          <w:divBdr>
            <w:top w:val="none" w:sz="0" w:space="0" w:color="auto"/>
            <w:left w:val="none" w:sz="0" w:space="0" w:color="auto"/>
            <w:bottom w:val="none" w:sz="0" w:space="0" w:color="auto"/>
            <w:right w:val="none" w:sz="0" w:space="0" w:color="auto"/>
          </w:divBdr>
          <w:divsChild>
            <w:div w:id="489181077">
              <w:marLeft w:val="0"/>
              <w:marRight w:val="0"/>
              <w:marTop w:val="0"/>
              <w:marBottom w:val="0"/>
              <w:divBdr>
                <w:top w:val="none" w:sz="0" w:space="0" w:color="auto"/>
                <w:left w:val="none" w:sz="0" w:space="0" w:color="auto"/>
                <w:bottom w:val="none" w:sz="0" w:space="0" w:color="auto"/>
                <w:right w:val="none" w:sz="0" w:space="0" w:color="auto"/>
              </w:divBdr>
              <w:divsChild>
                <w:div w:id="15469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4168">
      <w:bodyDiv w:val="1"/>
      <w:marLeft w:val="0"/>
      <w:marRight w:val="0"/>
      <w:marTop w:val="0"/>
      <w:marBottom w:val="0"/>
      <w:divBdr>
        <w:top w:val="none" w:sz="0" w:space="0" w:color="auto"/>
        <w:left w:val="none" w:sz="0" w:space="0" w:color="auto"/>
        <w:bottom w:val="none" w:sz="0" w:space="0" w:color="auto"/>
        <w:right w:val="none" w:sz="0" w:space="0" w:color="auto"/>
      </w:divBdr>
    </w:div>
    <w:div w:id="1115632158">
      <w:bodyDiv w:val="1"/>
      <w:marLeft w:val="0"/>
      <w:marRight w:val="0"/>
      <w:marTop w:val="0"/>
      <w:marBottom w:val="0"/>
      <w:divBdr>
        <w:top w:val="none" w:sz="0" w:space="0" w:color="auto"/>
        <w:left w:val="none" w:sz="0" w:space="0" w:color="auto"/>
        <w:bottom w:val="none" w:sz="0" w:space="0" w:color="auto"/>
        <w:right w:val="none" w:sz="0" w:space="0" w:color="auto"/>
      </w:divBdr>
      <w:divsChild>
        <w:div w:id="1303581282">
          <w:marLeft w:val="0"/>
          <w:marRight w:val="0"/>
          <w:marTop w:val="0"/>
          <w:marBottom w:val="0"/>
          <w:divBdr>
            <w:top w:val="none" w:sz="0" w:space="0" w:color="auto"/>
            <w:left w:val="none" w:sz="0" w:space="0" w:color="auto"/>
            <w:bottom w:val="none" w:sz="0" w:space="0" w:color="auto"/>
            <w:right w:val="none" w:sz="0" w:space="0" w:color="auto"/>
          </w:divBdr>
          <w:divsChild>
            <w:div w:id="1158039242">
              <w:marLeft w:val="0"/>
              <w:marRight w:val="0"/>
              <w:marTop w:val="0"/>
              <w:marBottom w:val="0"/>
              <w:divBdr>
                <w:top w:val="none" w:sz="0" w:space="0" w:color="auto"/>
                <w:left w:val="none" w:sz="0" w:space="0" w:color="auto"/>
                <w:bottom w:val="none" w:sz="0" w:space="0" w:color="auto"/>
                <w:right w:val="none" w:sz="0" w:space="0" w:color="auto"/>
              </w:divBdr>
              <w:divsChild>
                <w:div w:id="2000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8626">
      <w:bodyDiv w:val="1"/>
      <w:marLeft w:val="0"/>
      <w:marRight w:val="0"/>
      <w:marTop w:val="0"/>
      <w:marBottom w:val="0"/>
      <w:divBdr>
        <w:top w:val="none" w:sz="0" w:space="0" w:color="auto"/>
        <w:left w:val="none" w:sz="0" w:space="0" w:color="auto"/>
        <w:bottom w:val="none" w:sz="0" w:space="0" w:color="auto"/>
        <w:right w:val="none" w:sz="0" w:space="0" w:color="auto"/>
      </w:divBdr>
    </w:div>
    <w:div w:id="1448040909">
      <w:bodyDiv w:val="1"/>
      <w:marLeft w:val="0"/>
      <w:marRight w:val="0"/>
      <w:marTop w:val="0"/>
      <w:marBottom w:val="0"/>
      <w:divBdr>
        <w:top w:val="none" w:sz="0" w:space="0" w:color="auto"/>
        <w:left w:val="none" w:sz="0" w:space="0" w:color="auto"/>
        <w:bottom w:val="none" w:sz="0" w:space="0" w:color="auto"/>
        <w:right w:val="none" w:sz="0" w:space="0" w:color="auto"/>
      </w:divBdr>
    </w:div>
    <w:div w:id="1473449402">
      <w:bodyDiv w:val="1"/>
      <w:marLeft w:val="0"/>
      <w:marRight w:val="0"/>
      <w:marTop w:val="0"/>
      <w:marBottom w:val="0"/>
      <w:divBdr>
        <w:top w:val="none" w:sz="0" w:space="0" w:color="auto"/>
        <w:left w:val="none" w:sz="0" w:space="0" w:color="auto"/>
        <w:bottom w:val="none" w:sz="0" w:space="0" w:color="auto"/>
        <w:right w:val="none" w:sz="0" w:space="0" w:color="auto"/>
      </w:divBdr>
    </w:div>
    <w:div w:id="1602641344">
      <w:bodyDiv w:val="1"/>
      <w:marLeft w:val="0"/>
      <w:marRight w:val="0"/>
      <w:marTop w:val="0"/>
      <w:marBottom w:val="0"/>
      <w:divBdr>
        <w:top w:val="none" w:sz="0" w:space="0" w:color="auto"/>
        <w:left w:val="none" w:sz="0" w:space="0" w:color="auto"/>
        <w:bottom w:val="none" w:sz="0" w:space="0" w:color="auto"/>
        <w:right w:val="none" w:sz="0" w:space="0" w:color="auto"/>
      </w:divBdr>
      <w:divsChild>
        <w:div w:id="864371729">
          <w:marLeft w:val="0"/>
          <w:marRight w:val="0"/>
          <w:marTop w:val="0"/>
          <w:marBottom w:val="0"/>
          <w:divBdr>
            <w:top w:val="none" w:sz="0" w:space="0" w:color="auto"/>
            <w:left w:val="none" w:sz="0" w:space="0" w:color="auto"/>
            <w:bottom w:val="none" w:sz="0" w:space="0" w:color="auto"/>
            <w:right w:val="none" w:sz="0" w:space="0" w:color="auto"/>
          </w:divBdr>
          <w:divsChild>
            <w:div w:id="1782412578">
              <w:marLeft w:val="0"/>
              <w:marRight w:val="0"/>
              <w:marTop w:val="0"/>
              <w:marBottom w:val="0"/>
              <w:divBdr>
                <w:top w:val="none" w:sz="0" w:space="0" w:color="auto"/>
                <w:left w:val="none" w:sz="0" w:space="0" w:color="auto"/>
                <w:bottom w:val="none" w:sz="0" w:space="0" w:color="auto"/>
                <w:right w:val="none" w:sz="0" w:space="0" w:color="auto"/>
              </w:divBdr>
              <w:divsChild>
                <w:div w:id="14868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0350">
      <w:bodyDiv w:val="1"/>
      <w:marLeft w:val="0"/>
      <w:marRight w:val="0"/>
      <w:marTop w:val="0"/>
      <w:marBottom w:val="0"/>
      <w:divBdr>
        <w:top w:val="none" w:sz="0" w:space="0" w:color="auto"/>
        <w:left w:val="none" w:sz="0" w:space="0" w:color="auto"/>
        <w:bottom w:val="none" w:sz="0" w:space="0" w:color="auto"/>
        <w:right w:val="none" w:sz="0" w:space="0" w:color="auto"/>
      </w:divBdr>
      <w:divsChild>
        <w:div w:id="317617413">
          <w:marLeft w:val="0"/>
          <w:marRight w:val="0"/>
          <w:marTop w:val="0"/>
          <w:marBottom w:val="0"/>
          <w:divBdr>
            <w:top w:val="none" w:sz="0" w:space="0" w:color="auto"/>
            <w:left w:val="none" w:sz="0" w:space="0" w:color="auto"/>
            <w:bottom w:val="none" w:sz="0" w:space="0" w:color="auto"/>
            <w:right w:val="none" w:sz="0" w:space="0" w:color="auto"/>
          </w:divBdr>
          <w:divsChild>
            <w:div w:id="1573197889">
              <w:marLeft w:val="0"/>
              <w:marRight w:val="0"/>
              <w:marTop w:val="0"/>
              <w:marBottom w:val="0"/>
              <w:divBdr>
                <w:top w:val="none" w:sz="0" w:space="0" w:color="auto"/>
                <w:left w:val="none" w:sz="0" w:space="0" w:color="auto"/>
                <w:bottom w:val="none" w:sz="0" w:space="0" w:color="auto"/>
                <w:right w:val="none" w:sz="0" w:space="0" w:color="auto"/>
              </w:divBdr>
              <w:divsChild>
                <w:div w:id="2904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64962">
      <w:bodyDiv w:val="1"/>
      <w:marLeft w:val="0"/>
      <w:marRight w:val="0"/>
      <w:marTop w:val="0"/>
      <w:marBottom w:val="0"/>
      <w:divBdr>
        <w:top w:val="none" w:sz="0" w:space="0" w:color="auto"/>
        <w:left w:val="none" w:sz="0" w:space="0" w:color="auto"/>
        <w:bottom w:val="none" w:sz="0" w:space="0" w:color="auto"/>
        <w:right w:val="none" w:sz="0" w:space="0" w:color="auto"/>
      </w:divBdr>
    </w:div>
    <w:div w:id="1738893069">
      <w:bodyDiv w:val="1"/>
      <w:marLeft w:val="0"/>
      <w:marRight w:val="0"/>
      <w:marTop w:val="0"/>
      <w:marBottom w:val="0"/>
      <w:divBdr>
        <w:top w:val="none" w:sz="0" w:space="0" w:color="auto"/>
        <w:left w:val="none" w:sz="0" w:space="0" w:color="auto"/>
        <w:bottom w:val="none" w:sz="0" w:space="0" w:color="auto"/>
        <w:right w:val="none" w:sz="0" w:space="0" w:color="auto"/>
      </w:divBdr>
      <w:divsChild>
        <w:div w:id="1109396867">
          <w:marLeft w:val="0"/>
          <w:marRight w:val="0"/>
          <w:marTop w:val="0"/>
          <w:marBottom w:val="0"/>
          <w:divBdr>
            <w:top w:val="none" w:sz="0" w:space="0" w:color="auto"/>
            <w:left w:val="none" w:sz="0" w:space="0" w:color="auto"/>
            <w:bottom w:val="none" w:sz="0" w:space="0" w:color="auto"/>
            <w:right w:val="none" w:sz="0" w:space="0" w:color="auto"/>
          </w:divBdr>
          <w:divsChild>
            <w:div w:id="585384202">
              <w:marLeft w:val="0"/>
              <w:marRight w:val="0"/>
              <w:marTop w:val="0"/>
              <w:marBottom w:val="0"/>
              <w:divBdr>
                <w:top w:val="none" w:sz="0" w:space="0" w:color="auto"/>
                <w:left w:val="none" w:sz="0" w:space="0" w:color="auto"/>
                <w:bottom w:val="none" w:sz="0" w:space="0" w:color="auto"/>
                <w:right w:val="none" w:sz="0" w:space="0" w:color="auto"/>
              </w:divBdr>
              <w:divsChild>
                <w:div w:id="1694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6335">
      <w:bodyDiv w:val="1"/>
      <w:marLeft w:val="0"/>
      <w:marRight w:val="0"/>
      <w:marTop w:val="0"/>
      <w:marBottom w:val="0"/>
      <w:divBdr>
        <w:top w:val="none" w:sz="0" w:space="0" w:color="auto"/>
        <w:left w:val="none" w:sz="0" w:space="0" w:color="auto"/>
        <w:bottom w:val="none" w:sz="0" w:space="0" w:color="auto"/>
        <w:right w:val="none" w:sz="0" w:space="0" w:color="auto"/>
      </w:divBdr>
    </w:div>
    <w:div w:id="2041541082">
      <w:bodyDiv w:val="1"/>
      <w:marLeft w:val="0"/>
      <w:marRight w:val="0"/>
      <w:marTop w:val="0"/>
      <w:marBottom w:val="0"/>
      <w:divBdr>
        <w:top w:val="none" w:sz="0" w:space="0" w:color="auto"/>
        <w:left w:val="none" w:sz="0" w:space="0" w:color="auto"/>
        <w:bottom w:val="none" w:sz="0" w:space="0" w:color="auto"/>
        <w:right w:val="none" w:sz="0" w:space="0" w:color="auto"/>
      </w:divBdr>
    </w:div>
    <w:div w:id="207095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sbc.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vsbc.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sbc.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sbc.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TaxCatchAll xmlns="9ceedb1c-f687-4c7d-b70d-d3664efed103">
      <Value>2</Value>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Date xmlns="f62bdbb7-d386-4fea-ab9c-281c891cbff1" xsi:nil="true"/>
    <SharedWithUsers xmlns="9ceedb1c-f687-4c7d-b70d-d3664efed103">
      <UserInfo>
        <DisplayName>Alice M Bradshaw (VSBC)</DisplayName>
        <AccountId>38</AccountId>
        <AccountType/>
      </UserInfo>
      <UserInfo>
        <DisplayName>Cate L Pratt (VSBC)</DisplayName>
        <AccountId>32</AccountId>
        <AccountType/>
      </UserInfo>
      <UserInfo>
        <DisplayName>Lynda McAlary-Smith (VSBC)</DisplayName>
        <AccountId>284</AccountId>
        <AccountType/>
      </UserInfo>
    </SharedWithUsers>
    <lcf76f155ced4ddcb4097134ff3c332f xmlns="f62bdbb7-d386-4fea-ab9c-281c891cb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1" ma:contentTypeDescription="DEDJTR Document" ma:contentTypeScope="" ma:versionID="bac074f14e17e68f2b8f95bd1f2085d4">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e0e3a01e0e8a29701bb11c65efa3df1e"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Dat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Date" ma:index="33" nillable="true" ma:displayName="Date" ma:format="DateTime" ma:internalName="Date">
      <xsd:simpleType>
        <xsd:restriction base="dms:DateTim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50454-7F99-408F-B2C7-97C7532F9C3A}">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450A1D03-0877-4CF4-8EA1-C00F31418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AC460-01DB-4170-8D5D-9BE6C44BE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Harris (DEDJTR)</dc:creator>
  <cp:keywords/>
  <dc:description/>
  <cp:lastModifiedBy>Christine Harris</cp:lastModifiedBy>
  <cp:revision>41</cp:revision>
  <cp:lastPrinted>2019-05-22T20:15:00Z</cp:lastPrinted>
  <dcterms:created xsi:type="dcterms:W3CDTF">2023-04-19T21:23:00Z</dcterms:created>
  <dcterms:modified xsi:type="dcterms:W3CDTF">2023-04-20T07:28:00Z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1;#Employment Investment and Trade|55ce1999-68b6-4f37-bdce-009ad410cd2a</vt:lpwstr>
  </property>
  <property fmtid="{D5CDD505-2E9C-101B-9397-08002B2CF9AE}" pid="3" name="ContentTypeId">
    <vt:lpwstr>0x010100611F6414DFB111E7BA88F9DF1743E317002DD16A8C14771D49BA5E952E0FE46776</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2;#Small Business Commission|c496d8bd-8e1d-4703-8b98-f3d591901429</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2023-02-17T04:52:02Z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d4aa0f2c-7c74-49d4-ade4-6132be16fa0f</vt:lpwstr>
  </property>
  <property fmtid="{D5CDD505-2E9C-101B-9397-08002B2CF9AE}" pid="15" name="MSIP_Label_d00a4df9-c942-4b09-b23a-6c1023f6de27_ContentBits">
    <vt:lpwstr>3</vt:lpwstr>
  </property>
</Properties>
</file>