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15F6" w14:textId="051A3E44" w:rsidR="00D114C7" w:rsidRPr="00532CC5" w:rsidRDefault="00D114C7" w:rsidP="00501051">
      <w:pPr>
        <w:ind w:firstLine="567"/>
        <w:jc w:val="right"/>
        <w:rPr>
          <w:rFonts w:ascii="Arial" w:hAnsi="Arial" w:cs="Arial"/>
        </w:rPr>
      </w:pPr>
      <w:r w:rsidRPr="00532CC5">
        <w:rPr>
          <w:rFonts w:ascii="Arial" w:eastAsia="Calibri" w:hAnsi="Arial" w:cs="Arial"/>
          <w:noProof/>
        </w:rPr>
        <w:drawing>
          <wp:inline distT="0" distB="0" distL="0" distR="0" wp14:anchorId="2B238EB0" wp14:editId="0E25C06B">
            <wp:extent cx="1809750" cy="676275"/>
            <wp:effectExtent l="0" t="0" r="0" b="0"/>
            <wp:docPr id="1" name="Picture 1" descr="10626 VSBC_logo_CMYK_¦Æ 300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26 VSBC_logo_CMYK_¦Æ 300H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a:ln>
                      <a:noFill/>
                    </a:ln>
                  </pic:spPr>
                </pic:pic>
              </a:graphicData>
            </a:graphic>
          </wp:inline>
        </w:drawing>
      </w:r>
    </w:p>
    <w:p w14:paraId="1C126552" w14:textId="77777777" w:rsidR="00D114C7" w:rsidRPr="00532CC5" w:rsidRDefault="00D114C7" w:rsidP="00D114C7">
      <w:pPr>
        <w:rPr>
          <w:rFonts w:ascii="Arial" w:hAnsi="Arial" w:cs="Arial"/>
        </w:rPr>
      </w:pPr>
    </w:p>
    <w:p w14:paraId="08C5C44C" w14:textId="77777777" w:rsidR="00D114C7" w:rsidRPr="00532CC5" w:rsidRDefault="00D114C7" w:rsidP="00532CC5">
      <w:pPr>
        <w:pStyle w:val="ListParagraph"/>
        <w:spacing w:before="120" w:after="120" w:line="264" w:lineRule="auto"/>
        <w:ind w:left="0"/>
        <w:contextualSpacing w:val="0"/>
        <w:rPr>
          <w:rFonts w:ascii="Arial" w:hAnsi="Arial" w:cs="Arial"/>
          <w:b/>
          <w:sz w:val="28"/>
          <w:szCs w:val="28"/>
        </w:rPr>
      </w:pPr>
      <w:r w:rsidRPr="00532CC5">
        <w:rPr>
          <w:rFonts w:ascii="Arial" w:hAnsi="Arial" w:cs="Arial"/>
          <w:b/>
          <w:sz w:val="28"/>
          <w:szCs w:val="28"/>
        </w:rPr>
        <w:t>Victorian Small Business Commission</w:t>
      </w:r>
    </w:p>
    <w:p w14:paraId="2608525B" w14:textId="1E29EAE6" w:rsidR="00D114C7" w:rsidRPr="00532CC5" w:rsidRDefault="00D114C7" w:rsidP="00532CC5">
      <w:pPr>
        <w:pStyle w:val="ListParagraph"/>
        <w:spacing w:before="120" w:after="120" w:line="264" w:lineRule="auto"/>
        <w:ind w:left="0"/>
        <w:contextualSpacing w:val="0"/>
        <w:rPr>
          <w:rFonts w:ascii="Arial" w:hAnsi="Arial" w:cs="Arial"/>
          <w:b/>
          <w:sz w:val="28"/>
          <w:szCs w:val="28"/>
        </w:rPr>
      </w:pPr>
      <w:r w:rsidRPr="00532CC5">
        <w:rPr>
          <w:rFonts w:ascii="Arial" w:hAnsi="Arial" w:cs="Arial"/>
          <w:b/>
          <w:i/>
          <w:sz w:val="28"/>
          <w:szCs w:val="28"/>
        </w:rPr>
        <w:t xml:space="preserve">Owner Drivers &amp; Forestry Contractors Act 2005 </w:t>
      </w:r>
      <w:r w:rsidR="00532CC5">
        <w:rPr>
          <w:rFonts w:ascii="Arial" w:hAnsi="Arial" w:cs="Arial"/>
          <w:b/>
          <w:i/>
          <w:sz w:val="28"/>
          <w:szCs w:val="28"/>
        </w:rPr>
        <w:t>–</w:t>
      </w:r>
      <w:r w:rsidRPr="00532CC5">
        <w:rPr>
          <w:rFonts w:ascii="Arial" w:hAnsi="Arial" w:cs="Arial"/>
          <w:b/>
          <w:i/>
          <w:sz w:val="28"/>
          <w:szCs w:val="28"/>
        </w:rPr>
        <w:t xml:space="preserve"> </w:t>
      </w:r>
      <w:r w:rsidRPr="00532CC5">
        <w:rPr>
          <w:rFonts w:ascii="Arial" w:hAnsi="Arial" w:cs="Arial"/>
          <w:b/>
          <w:sz w:val="28"/>
          <w:szCs w:val="28"/>
        </w:rPr>
        <w:t>Arbitration Rules</w:t>
      </w:r>
    </w:p>
    <w:p w14:paraId="0DDEDE8C" w14:textId="0E0F8C72" w:rsidR="00D114C7" w:rsidRPr="00532CC5" w:rsidRDefault="00D114C7" w:rsidP="00532CC5">
      <w:pPr>
        <w:spacing w:before="240" w:after="120" w:line="264" w:lineRule="auto"/>
        <w:rPr>
          <w:rFonts w:ascii="Arial" w:hAnsi="Arial" w:cs="Arial"/>
        </w:rPr>
      </w:pPr>
      <w:r w:rsidRPr="00532CC5">
        <w:rPr>
          <w:rFonts w:ascii="Arial" w:hAnsi="Arial" w:cs="Arial"/>
        </w:rPr>
        <w:t xml:space="preserve">Under the </w:t>
      </w:r>
      <w:r w:rsidRPr="00532CC5">
        <w:rPr>
          <w:rFonts w:ascii="Arial" w:hAnsi="Arial" w:cs="Arial"/>
          <w:i/>
        </w:rPr>
        <w:t xml:space="preserve">Owner Drivers &amp; Forestry Contractors Act 2005 </w:t>
      </w:r>
      <w:r w:rsidRPr="00532CC5">
        <w:rPr>
          <w:rFonts w:ascii="Arial" w:hAnsi="Arial" w:cs="Arial"/>
        </w:rPr>
        <w:t>(the</w:t>
      </w:r>
      <w:r w:rsidR="00681E65" w:rsidRPr="00532CC5">
        <w:rPr>
          <w:rFonts w:ascii="Arial" w:hAnsi="Arial" w:cs="Arial"/>
        </w:rPr>
        <w:t xml:space="preserve"> </w:t>
      </w:r>
      <w:r w:rsidRPr="00532CC5">
        <w:rPr>
          <w:rFonts w:ascii="Arial" w:hAnsi="Arial" w:cs="Arial"/>
        </w:rPr>
        <w:t xml:space="preserve">Act) the Victorian Small Business Commission (VSBC) has the function to provide alternative dispute resolution (ADR) including arbitration. </w:t>
      </w:r>
    </w:p>
    <w:p w14:paraId="60253437" w14:textId="7A8E9FAF" w:rsidR="00D114C7" w:rsidRDefault="00D114C7" w:rsidP="00532CC5">
      <w:pPr>
        <w:spacing w:before="120" w:after="120" w:line="264" w:lineRule="auto"/>
        <w:rPr>
          <w:rFonts w:ascii="Arial" w:hAnsi="Arial" w:cs="Arial"/>
        </w:rPr>
      </w:pPr>
      <w:r w:rsidRPr="00532CC5">
        <w:rPr>
          <w:rFonts w:ascii="Arial" w:hAnsi="Arial" w:cs="Arial"/>
        </w:rPr>
        <w:t xml:space="preserve">The parties to a dispute under the Act may agree to apply for </w:t>
      </w:r>
      <w:r w:rsidR="00D76276" w:rsidRPr="00532CC5">
        <w:rPr>
          <w:rFonts w:ascii="Arial" w:hAnsi="Arial" w:cs="Arial"/>
        </w:rPr>
        <w:t>a</w:t>
      </w:r>
      <w:r w:rsidRPr="00532CC5">
        <w:rPr>
          <w:rFonts w:ascii="Arial" w:hAnsi="Arial" w:cs="Arial"/>
        </w:rPr>
        <w:t xml:space="preserve">rbitration </w:t>
      </w:r>
      <w:r w:rsidR="004D757A" w:rsidRPr="00532CC5">
        <w:rPr>
          <w:rFonts w:ascii="Arial" w:hAnsi="Arial" w:cs="Arial"/>
        </w:rPr>
        <w:t>under th</w:t>
      </w:r>
      <w:r w:rsidR="004F448C" w:rsidRPr="00532CC5">
        <w:rPr>
          <w:rFonts w:ascii="Arial" w:hAnsi="Arial" w:cs="Arial"/>
        </w:rPr>
        <w:t>e Act</w:t>
      </w:r>
      <w:r w:rsidR="00FD190D" w:rsidRPr="00532CC5">
        <w:rPr>
          <w:rFonts w:ascii="Arial" w:hAnsi="Arial" w:cs="Arial"/>
        </w:rPr>
        <w:t xml:space="preserve"> </w:t>
      </w:r>
      <w:r w:rsidRPr="00532CC5">
        <w:rPr>
          <w:rFonts w:ascii="Arial" w:hAnsi="Arial" w:cs="Arial"/>
        </w:rPr>
        <w:t>whe</w:t>
      </w:r>
      <w:r w:rsidR="00DD4EF1" w:rsidRPr="00532CC5">
        <w:rPr>
          <w:rFonts w:ascii="Arial" w:hAnsi="Arial" w:cs="Arial"/>
        </w:rPr>
        <w:t>ther</w:t>
      </w:r>
      <w:r w:rsidRPr="00532CC5">
        <w:rPr>
          <w:rFonts w:ascii="Arial" w:hAnsi="Arial" w:cs="Arial"/>
        </w:rPr>
        <w:t xml:space="preserve"> mediation has or has not occurred. </w:t>
      </w:r>
    </w:p>
    <w:p w14:paraId="4C90FF79" w14:textId="77777777" w:rsidR="002650DD" w:rsidRPr="00532CC5" w:rsidRDefault="002650DD" w:rsidP="00532CC5">
      <w:pPr>
        <w:spacing w:before="120" w:after="120" w:line="264" w:lineRule="auto"/>
        <w:rPr>
          <w:rFonts w:ascii="Arial" w:hAnsi="Arial" w:cs="Arial"/>
        </w:rPr>
      </w:pPr>
    </w:p>
    <w:p w14:paraId="0E511CDE" w14:textId="77777777" w:rsidR="004A2C4D" w:rsidRPr="00532CC5" w:rsidRDefault="00D114C7" w:rsidP="00532CC5">
      <w:pPr>
        <w:pStyle w:val="LDStandard2"/>
        <w:spacing w:before="120" w:after="120" w:line="264" w:lineRule="auto"/>
        <w:rPr>
          <w:rFonts w:ascii="Arial" w:hAnsi="Arial" w:cs="Arial"/>
          <w:b/>
        </w:rPr>
      </w:pPr>
      <w:r w:rsidRPr="00532CC5">
        <w:rPr>
          <w:rFonts w:ascii="Arial" w:hAnsi="Arial" w:cs="Arial"/>
          <w:b/>
        </w:rPr>
        <w:t>Application</w:t>
      </w:r>
    </w:p>
    <w:p w14:paraId="58CD1FED" w14:textId="0B77C4F9" w:rsidR="00C74304" w:rsidRPr="00532CC5" w:rsidRDefault="00C74304" w:rsidP="00532CC5">
      <w:pPr>
        <w:pStyle w:val="LDStandard3"/>
        <w:spacing w:before="120" w:after="120" w:line="264" w:lineRule="auto"/>
        <w:rPr>
          <w:rFonts w:ascii="Arial" w:hAnsi="Arial" w:cs="Arial"/>
        </w:rPr>
      </w:pPr>
      <w:r w:rsidRPr="00532CC5">
        <w:rPr>
          <w:rFonts w:ascii="Arial" w:hAnsi="Arial" w:cs="Arial"/>
        </w:rPr>
        <w:t>Where parties to a dispute agree in writing under the Arbitration Agreement that the dispute shall be referred to arbitration under s</w:t>
      </w:r>
      <w:r w:rsidR="004D50FF" w:rsidRPr="00532CC5">
        <w:rPr>
          <w:rFonts w:ascii="Arial" w:hAnsi="Arial" w:cs="Arial"/>
        </w:rPr>
        <w:t xml:space="preserve"> </w:t>
      </w:r>
      <w:r w:rsidRPr="00532CC5">
        <w:rPr>
          <w:rFonts w:ascii="Arial" w:hAnsi="Arial" w:cs="Arial"/>
        </w:rPr>
        <w:t>35 of the Act</w:t>
      </w:r>
      <w:r w:rsidR="004D50FF" w:rsidRPr="00532CC5">
        <w:rPr>
          <w:rFonts w:ascii="Arial" w:hAnsi="Arial" w:cs="Arial"/>
        </w:rPr>
        <w:t xml:space="preserve"> (Arbitration)</w:t>
      </w:r>
      <w:r w:rsidRPr="00532CC5">
        <w:rPr>
          <w:rFonts w:ascii="Arial" w:hAnsi="Arial" w:cs="Arial"/>
        </w:rPr>
        <w:t>, the dispute will be resolved in accordan</w:t>
      </w:r>
      <w:sdt>
        <w:sdtPr>
          <w:rPr>
            <w:rFonts w:ascii="Arial" w:hAnsi="Arial" w:cs="Arial"/>
          </w:rPr>
          <w:id w:val="-1109112794"/>
          <w:docPartObj>
            <w:docPartGallery w:val="Watermarks"/>
          </w:docPartObj>
        </w:sdtPr>
        <w:sdtEndPr/>
        <w:sdtContent/>
      </w:sdt>
      <w:r w:rsidRPr="00532CC5">
        <w:rPr>
          <w:rFonts w:ascii="Arial" w:hAnsi="Arial" w:cs="Arial"/>
        </w:rPr>
        <w:t>ce with these Rules as in effect on th</w:t>
      </w:r>
      <w:sdt>
        <w:sdtPr>
          <w:rPr>
            <w:rFonts w:ascii="Arial" w:hAnsi="Arial" w:cs="Arial"/>
          </w:rPr>
          <w:id w:val="402489535"/>
          <w:docPartObj>
            <w:docPartGallery w:val="Watermarks"/>
          </w:docPartObj>
        </w:sdtPr>
        <w:sdtEndPr/>
        <w:sdtContent/>
      </w:sdt>
      <w:r w:rsidRPr="00532CC5">
        <w:rPr>
          <w:rFonts w:ascii="Arial" w:hAnsi="Arial" w:cs="Arial"/>
        </w:rPr>
        <w:t xml:space="preserve">e date of the commencement of the </w:t>
      </w:r>
      <w:r w:rsidR="00BF6578" w:rsidRPr="00532CC5">
        <w:rPr>
          <w:rFonts w:ascii="Arial" w:hAnsi="Arial" w:cs="Arial"/>
        </w:rPr>
        <w:t>A</w:t>
      </w:r>
      <w:r w:rsidRPr="00532CC5">
        <w:rPr>
          <w:rFonts w:ascii="Arial" w:hAnsi="Arial" w:cs="Arial"/>
        </w:rPr>
        <w:t>rbitration.</w:t>
      </w:r>
    </w:p>
    <w:p w14:paraId="357C3057" w14:textId="0F96B5B4" w:rsidR="00372CA3" w:rsidRPr="00532CC5" w:rsidRDefault="00372CA3" w:rsidP="002650DD">
      <w:pPr>
        <w:pStyle w:val="LDStandard2"/>
        <w:tabs>
          <w:tab w:val="num" w:pos="1700"/>
        </w:tabs>
        <w:spacing w:before="240" w:after="120" w:line="264" w:lineRule="auto"/>
        <w:rPr>
          <w:rFonts w:ascii="Arial" w:hAnsi="Arial" w:cs="Arial"/>
          <w:b/>
        </w:rPr>
      </w:pPr>
      <w:r w:rsidRPr="00532CC5">
        <w:rPr>
          <w:rFonts w:ascii="Arial" w:hAnsi="Arial" w:cs="Arial"/>
          <w:b/>
        </w:rPr>
        <w:t>Commencement of Arbitration</w:t>
      </w:r>
    </w:p>
    <w:p w14:paraId="785737DE" w14:textId="01297F3A" w:rsidR="00600CE4" w:rsidRPr="00532CC5" w:rsidRDefault="004D50FF" w:rsidP="00532CC5">
      <w:pPr>
        <w:pStyle w:val="LDStandard3"/>
        <w:spacing w:before="120" w:after="120" w:line="264" w:lineRule="auto"/>
        <w:rPr>
          <w:rFonts w:ascii="Arial" w:hAnsi="Arial" w:cs="Arial"/>
        </w:rPr>
      </w:pPr>
      <w:r w:rsidRPr="00532CC5">
        <w:rPr>
          <w:rFonts w:ascii="Arial" w:hAnsi="Arial" w:cs="Arial"/>
        </w:rPr>
        <w:t>E</w:t>
      </w:r>
      <w:r w:rsidR="00D114C7" w:rsidRPr="00532CC5">
        <w:rPr>
          <w:rFonts w:ascii="Arial" w:hAnsi="Arial" w:cs="Arial"/>
        </w:rPr>
        <w:t>ither party to a dispute</w:t>
      </w:r>
      <w:r w:rsidRPr="00532CC5">
        <w:rPr>
          <w:rFonts w:ascii="Arial" w:hAnsi="Arial" w:cs="Arial"/>
        </w:rPr>
        <w:t xml:space="preserve"> may apply to have the dispute </w:t>
      </w:r>
      <w:r w:rsidR="00035B64" w:rsidRPr="00532CC5">
        <w:rPr>
          <w:rFonts w:ascii="Arial" w:hAnsi="Arial" w:cs="Arial"/>
        </w:rPr>
        <w:t>referred to arbitration</w:t>
      </w:r>
      <w:r w:rsidR="00D114C7" w:rsidRPr="00532CC5">
        <w:rPr>
          <w:rFonts w:ascii="Arial" w:hAnsi="Arial" w:cs="Arial"/>
        </w:rPr>
        <w:t xml:space="preserve"> </w:t>
      </w:r>
      <w:r w:rsidRPr="00532CC5">
        <w:rPr>
          <w:rFonts w:ascii="Arial" w:hAnsi="Arial" w:cs="Arial"/>
        </w:rPr>
        <w:t xml:space="preserve">by </w:t>
      </w:r>
      <w:r w:rsidR="00D114C7" w:rsidRPr="00532CC5">
        <w:rPr>
          <w:rFonts w:ascii="Arial" w:hAnsi="Arial" w:cs="Arial"/>
        </w:rPr>
        <w:t>completing an Application for Arbitration and submitting it t</w:t>
      </w:r>
      <w:r w:rsidR="009A07AD" w:rsidRPr="00532CC5">
        <w:rPr>
          <w:rFonts w:ascii="Arial" w:hAnsi="Arial" w:cs="Arial"/>
        </w:rPr>
        <w:t xml:space="preserve">o the </w:t>
      </w:r>
      <w:r w:rsidR="00D114C7" w:rsidRPr="00532CC5">
        <w:rPr>
          <w:rFonts w:ascii="Arial" w:hAnsi="Arial" w:cs="Arial"/>
        </w:rPr>
        <w:t xml:space="preserve">VSBC. The Application </w:t>
      </w:r>
      <w:r w:rsidR="00600CE4" w:rsidRPr="00532CC5">
        <w:rPr>
          <w:rFonts w:ascii="Arial" w:hAnsi="Arial" w:cs="Arial"/>
        </w:rPr>
        <w:t>must contain the following:</w:t>
      </w:r>
    </w:p>
    <w:p w14:paraId="45073DAE" w14:textId="063F1ED0" w:rsidR="00600CE4" w:rsidRPr="00532CC5" w:rsidRDefault="00600CE4"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the name, role and contact details of the applicant party (the Applicant);</w:t>
      </w:r>
    </w:p>
    <w:p w14:paraId="41D603C5" w14:textId="68577692" w:rsidR="00600CE4" w:rsidRPr="00532CC5" w:rsidRDefault="00DD61A5"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 xml:space="preserve">if applicable, </w:t>
      </w:r>
      <w:r w:rsidR="00600CE4" w:rsidRPr="00532CC5">
        <w:rPr>
          <w:rFonts w:ascii="Arial" w:hAnsi="Arial" w:cs="Arial"/>
        </w:rPr>
        <w:t xml:space="preserve">the name of </w:t>
      </w:r>
      <w:r w:rsidR="00C703AD" w:rsidRPr="00532CC5">
        <w:rPr>
          <w:rFonts w:ascii="Arial" w:hAnsi="Arial" w:cs="Arial"/>
        </w:rPr>
        <w:t xml:space="preserve">the Applicant’s </w:t>
      </w:r>
      <w:r w:rsidR="00600CE4" w:rsidRPr="00532CC5">
        <w:rPr>
          <w:rFonts w:ascii="Arial" w:hAnsi="Arial" w:cs="Arial"/>
        </w:rPr>
        <w:t xml:space="preserve">representative and their role; </w:t>
      </w:r>
    </w:p>
    <w:p w14:paraId="4A5B61F3" w14:textId="7EEF2F0D" w:rsidR="00600CE4" w:rsidRPr="00532CC5" w:rsidRDefault="00600CE4"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the name, role and contact detail</w:t>
      </w:r>
      <w:r w:rsidR="00734568" w:rsidRPr="00532CC5">
        <w:rPr>
          <w:rFonts w:ascii="Arial" w:hAnsi="Arial" w:cs="Arial"/>
        </w:rPr>
        <w:t>s</w:t>
      </w:r>
      <w:r w:rsidRPr="00532CC5">
        <w:rPr>
          <w:rFonts w:ascii="Arial" w:hAnsi="Arial" w:cs="Arial"/>
        </w:rPr>
        <w:t xml:space="preserve"> of the other party to the dispute (the Respondent); </w:t>
      </w:r>
    </w:p>
    <w:p w14:paraId="2EC988C3" w14:textId="6AFDA3E1" w:rsidR="00600CE4" w:rsidRPr="00532CC5" w:rsidRDefault="00600CE4"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if known, the name</w:t>
      </w:r>
      <w:r w:rsidR="004D50FF" w:rsidRPr="00532CC5">
        <w:rPr>
          <w:rFonts w:ascii="Arial" w:hAnsi="Arial" w:cs="Arial"/>
        </w:rPr>
        <w:t xml:space="preserve"> and role</w:t>
      </w:r>
      <w:r w:rsidRPr="00532CC5">
        <w:rPr>
          <w:rFonts w:ascii="Arial" w:hAnsi="Arial" w:cs="Arial"/>
        </w:rPr>
        <w:t xml:space="preserve"> of any representative of the Respondent; </w:t>
      </w:r>
      <w:r w:rsidR="009B68C5" w:rsidRPr="00532CC5">
        <w:rPr>
          <w:rFonts w:ascii="Arial" w:hAnsi="Arial" w:cs="Arial"/>
        </w:rPr>
        <w:t>and</w:t>
      </w:r>
    </w:p>
    <w:p w14:paraId="04906062" w14:textId="2C0B8518" w:rsidR="00D114C7" w:rsidRPr="00532CC5" w:rsidRDefault="001742CD"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 xml:space="preserve">a </w:t>
      </w:r>
      <w:r w:rsidR="0064308B" w:rsidRPr="00532CC5">
        <w:rPr>
          <w:rFonts w:ascii="Arial" w:hAnsi="Arial" w:cs="Arial"/>
        </w:rPr>
        <w:t xml:space="preserve">brief statement </w:t>
      </w:r>
      <w:r w:rsidR="00B87268" w:rsidRPr="00532CC5">
        <w:rPr>
          <w:rFonts w:ascii="Arial" w:hAnsi="Arial" w:cs="Arial"/>
        </w:rPr>
        <w:t xml:space="preserve">of no more than </w:t>
      </w:r>
      <w:r w:rsidR="00B87268" w:rsidRPr="00532CC5">
        <w:rPr>
          <w:rFonts w:ascii="Arial" w:hAnsi="Arial" w:cs="Arial"/>
          <w:b/>
          <w:bCs/>
        </w:rPr>
        <w:t xml:space="preserve">one </w:t>
      </w:r>
      <w:r w:rsidR="00845101" w:rsidRPr="00532CC5">
        <w:rPr>
          <w:rFonts w:ascii="Arial" w:hAnsi="Arial" w:cs="Arial"/>
          <w:b/>
          <w:bCs/>
        </w:rPr>
        <w:t>page</w:t>
      </w:r>
      <w:r w:rsidR="005A34CF" w:rsidRPr="00532CC5">
        <w:rPr>
          <w:rFonts w:ascii="Arial" w:hAnsi="Arial" w:cs="Arial"/>
          <w:b/>
          <w:bCs/>
        </w:rPr>
        <w:t xml:space="preserve"> in length</w:t>
      </w:r>
      <w:r w:rsidR="00AD6B5A" w:rsidRPr="00532CC5">
        <w:rPr>
          <w:rFonts w:ascii="Arial" w:hAnsi="Arial" w:cs="Arial"/>
        </w:rPr>
        <w:t xml:space="preserve"> </w:t>
      </w:r>
      <w:r w:rsidR="001F719E" w:rsidRPr="00532CC5">
        <w:rPr>
          <w:rFonts w:ascii="Arial" w:hAnsi="Arial" w:cs="Arial"/>
        </w:rPr>
        <w:t xml:space="preserve">summarising </w:t>
      </w:r>
      <w:r w:rsidR="00D114C7" w:rsidRPr="00532CC5">
        <w:rPr>
          <w:rFonts w:ascii="Arial" w:hAnsi="Arial" w:cs="Arial"/>
        </w:rPr>
        <w:t xml:space="preserve">the Applicant’s </w:t>
      </w:r>
      <w:r w:rsidRPr="00532CC5">
        <w:rPr>
          <w:rFonts w:ascii="Arial" w:hAnsi="Arial" w:cs="Arial"/>
        </w:rPr>
        <w:t>claim</w:t>
      </w:r>
      <w:r w:rsidR="001F719E" w:rsidRPr="00532CC5">
        <w:rPr>
          <w:rFonts w:ascii="Arial" w:hAnsi="Arial" w:cs="Arial"/>
        </w:rPr>
        <w:t>.</w:t>
      </w:r>
      <w:r w:rsidRPr="00532CC5">
        <w:rPr>
          <w:rFonts w:ascii="Arial" w:hAnsi="Arial" w:cs="Arial"/>
        </w:rPr>
        <w:t xml:space="preserve"> </w:t>
      </w:r>
    </w:p>
    <w:p w14:paraId="21A7E811" w14:textId="7D149C76" w:rsidR="00AD56FB" w:rsidRPr="00532CC5" w:rsidRDefault="00D114C7" w:rsidP="00532CC5">
      <w:pPr>
        <w:pStyle w:val="LDStandard3"/>
        <w:spacing w:before="120" w:after="120" w:line="264" w:lineRule="auto"/>
        <w:rPr>
          <w:rFonts w:ascii="Arial" w:hAnsi="Arial" w:cs="Arial"/>
        </w:rPr>
      </w:pPr>
      <w:r w:rsidRPr="00532CC5">
        <w:rPr>
          <w:rFonts w:ascii="Arial" w:hAnsi="Arial" w:cs="Arial"/>
        </w:rPr>
        <w:t xml:space="preserve">The VSBC </w:t>
      </w:r>
      <w:r w:rsidR="00035B64" w:rsidRPr="00532CC5">
        <w:rPr>
          <w:rFonts w:ascii="Arial" w:hAnsi="Arial" w:cs="Arial"/>
        </w:rPr>
        <w:t xml:space="preserve">must </w:t>
      </w:r>
      <w:r w:rsidR="004D50FF" w:rsidRPr="00532CC5">
        <w:rPr>
          <w:rFonts w:ascii="Arial" w:hAnsi="Arial" w:cs="Arial"/>
        </w:rPr>
        <w:t xml:space="preserve">provide a copy of </w:t>
      </w:r>
      <w:r w:rsidRPr="00532CC5">
        <w:rPr>
          <w:rFonts w:ascii="Arial" w:hAnsi="Arial" w:cs="Arial"/>
        </w:rPr>
        <w:t xml:space="preserve">the Application </w:t>
      </w:r>
      <w:r w:rsidR="004D50FF" w:rsidRPr="00532CC5">
        <w:rPr>
          <w:rFonts w:ascii="Arial" w:hAnsi="Arial" w:cs="Arial"/>
        </w:rPr>
        <w:t xml:space="preserve">and the Arbitration Agreement </w:t>
      </w:r>
      <w:r w:rsidRPr="00532CC5">
        <w:rPr>
          <w:rFonts w:ascii="Arial" w:hAnsi="Arial" w:cs="Arial"/>
        </w:rPr>
        <w:t xml:space="preserve">to the </w:t>
      </w:r>
      <w:r w:rsidR="000A25D0" w:rsidRPr="00532CC5">
        <w:rPr>
          <w:rFonts w:ascii="Arial" w:hAnsi="Arial" w:cs="Arial"/>
        </w:rPr>
        <w:t>Respondent</w:t>
      </w:r>
      <w:r w:rsidRPr="00532CC5">
        <w:rPr>
          <w:rFonts w:ascii="Arial" w:hAnsi="Arial" w:cs="Arial"/>
        </w:rPr>
        <w:t xml:space="preserve"> to the dispute</w:t>
      </w:r>
      <w:r w:rsidR="00AD56FB" w:rsidRPr="00532CC5">
        <w:rPr>
          <w:rFonts w:ascii="Arial" w:hAnsi="Arial" w:cs="Arial"/>
        </w:rPr>
        <w:t xml:space="preserve">, </w:t>
      </w:r>
      <w:r w:rsidR="00064DB1" w:rsidRPr="00532CC5">
        <w:rPr>
          <w:rFonts w:ascii="Arial" w:hAnsi="Arial" w:cs="Arial"/>
        </w:rPr>
        <w:t>who</w:t>
      </w:r>
      <w:r w:rsidR="007334A4" w:rsidRPr="00532CC5">
        <w:rPr>
          <w:rFonts w:ascii="Arial" w:hAnsi="Arial" w:cs="Arial"/>
        </w:rPr>
        <w:t xml:space="preserve"> </w:t>
      </w:r>
      <w:r w:rsidR="00607F9A" w:rsidRPr="00532CC5">
        <w:rPr>
          <w:rFonts w:ascii="Arial" w:hAnsi="Arial" w:cs="Arial"/>
        </w:rPr>
        <w:t>must</w:t>
      </w:r>
      <w:r w:rsidR="00AD56FB" w:rsidRPr="00532CC5">
        <w:rPr>
          <w:rFonts w:ascii="Arial" w:hAnsi="Arial" w:cs="Arial"/>
        </w:rPr>
        <w:t>,</w:t>
      </w:r>
      <w:r w:rsidR="004D50FF" w:rsidRPr="00532CC5">
        <w:rPr>
          <w:rFonts w:ascii="Arial" w:hAnsi="Arial" w:cs="Arial"/>
        </w:rPr>
        <w:t xml:space="preserve"> </w:t>
      </w:r>
      <w:r w:rsidR="00AD56FB" w:rsidRPr="00532CC5">
        <w:rPr>
          <w:rFonts w:ascii="Arial" w:hAnsi="Arial" w:cs="Arial"/>
        </w:rPr>
        <w:t>within ten business day</w:t>
      </w:r>
      <w:r w:rsidR="00035B64" w:rsidRPr="00532CC5">
        <w:rPr>
          <w:rFonts w:ascii="Arial" w:hAnsi="Arial" w:cs="Arial"/>
        </w:rPr>
        <w:t>s</w:t>
      </w:r>
      <w:r w:rsidR="00AD56FB" w:rsidRPr="00532CC5">
        <w:rPr>
          <w:rFonts w:ascii="Arial" w:hAnsi="Arial" w:cs="Arial"/>
        </w:rPr>
        <w:t>:</w:t>
      </w:r>
    </w:p>
    <w:p w14:paraId="6612CE07" w14:textId="0A015716" w:rsidR="00AD56FB" w:rsidRPr="00532CC5" w:rsidRDefault="004D50FF" w:rsidP="00532CC5">
      <w:pPr>
        <w:pStyle w:val="LDStandard4"/>
        <w:tabs>
          <w:tab w:val="clear" w:pos="1701"/>
          <w:tab w:val="clear" w:pos="2552"/>
          <w:tab w:val="num" w:pos="1418"/>
        </w:tabs>
        <w:spacing w:before="120" w:after="120" w:line="264" w:lineRule="auto"/>
        <w:ind w:hanging="1701"/>
        <w:rPr>
          <w:rFonts w:ascii="Arial" w:hAnsi="Arial" w:cs="Arial"/>
        </w:rPr>
      </w:pPr>
      <w:r w:rsidRPr="00532CC5">
        <w:rPr>
          <w:rFonts w:ascii="Arial" w:hAnsi="Arial" w:cs="Arial"/>
        </w:rPr>
        <w:t xml:space="preserve">advise the VSBC </w:t>
      </w:r>
      <w:r w:rsidR="003B1DA0" w:rsidRPr="00532CC5">
        <w:rPr>
          <w:rFonts w:ascii="Arial" w:hAnsi="Arial" w:cs="Arial"/>
        </w:rPr>
        <w:t>whether</w:t>
      </w:r>
      <w:r w:rsidRPr="00532CC5">
        <w:rPr>
          <w:rFonts w:ascii="Arial" w:hAnsi="Arial" w:cs="Arial"/>
        </w:rPr>
        <w:t xml:space="preserve"> it agrees to participate in the Arbitration</w:t>
      </w:r>
      <w:r w:rsidR="00AD56FB" w:rsidRPr="00532CC5">
        <w:rPr>
          <w:rFonts w:ascii="Arial" w:hAnsi="Arial" w:cs="Arial"/>
        </w:rPr>
        <w:t xml:space="preserve">; and </w:t>
      </w:r>
    </w:p>
    <w:p w14:paraId="51EF2138" w14:textId="3906AC10" w:rsidR="00AD56FB" w:rsidRPr="00532CC5" w:rsidRDefault="00AD56FB" w:rsidP="00532CC5">
      <w:pPr>
        <w:pStyle w:val="LDStandard4"/>
        <w:tabs>
          <w:tab w:val="clear" w:pos="1701"/>
          <w:tab w:val="clear" w:pos="2552"/>
          <w:tab w:val="num" w:pos="1418"/>
        </w:tabs>
        <w:spacing w:before="120" w:after="120" w:line="264" w:lineRule="auto"/>
        <w:ind w:left="1418" w:hanging="567"/>
        <w:rPr>
          <w:rFonts w:ascii="Arial" w:hAnsi="Arial" w:cs="Arial"/>
        </w:rPr>
      </w:pPr>
      <w:r w:rsidRPr="00532CC5">
        <w:rPr>
          <w:rFonts w:ascii="Arial" w:hAnsi="Arial" w:cs="Arial"/>
        </w:rPr>
        <w:t xml:space="preserve">if the Respondent agrees to </w:t>
      </w:r>
      <w:r w:rsidR="00035B64" w:rsidRPr="00532CC5">
        <w:rPr>
          <w:rFonts w:ascii="Arial" w:hAnsi="Arial" w:cs="Arial"/>
        </w:rPr>
        <w:t xml:space="preserve">participate in </w:t>
      </w:r>
      <w:r w:rsidRPr="00532CC5">
        <w:rPr>
          <w:rFonts w:ascii="Arial" w:hAnsi="Arial" w:cs="Arial"/>
        </w:rPr>
        <w:t>the Arbitration, return a signed copy of the Ar</w:t>
      </w:r>
      <w:r w:rsidR="009B68C5" w:rsidRPr="00532CC5">
        <w:rPr>
          <w:rFonts w:ascii="Arial" w:hAnsi="Arial" w:cs="Arial"/>
        </w:rPr>
        <w:t>bitration Agreement to the VSBC; and</w:t>
      </w:r>
    </w:p>
    <w:p w14:paraId="4C5D1794" w14:textId="7205246B" w:rsidR="00035B64" w:rsidRPr="00532CC5" w:rsidRDefault="009B68C5" w:rsidP="00532CC5">
      <w:pPr>
        <w:pStyle w:val="LDStandard4"/>
        <w:tabs>
          <w:tab w:val="clear" w:pos="1701"/>
          <w:tab w:val="clear" w:pos="2552"/>
          <w:tab w:val="num" w:pos="1418"/>
        </w:tabs>
        <w:spacing w:before="120" w:after="120" w:line="264" w:lineRule="auto"/>
        <w:ind w:hanging="1701"/>
        <w:rPr>
          <w:rFonts w:ascii="Arial" w:hAnsi="Arial" w:cs="Arial"/>
        </w:rPr>
      </w:pPr>
      <w:r w:rsidRPr="00532CC5">
        <w:rPr>
          <w:rFonts w:ascii="Arial" w:hAnsi="Arial" w:cs="Arial"/>
        </w:rPr>
        <w:t>pay to the VSBC the arbitration fee of $295.</w:t>
      </w:r>
    </w:p>
    <w:p w14:paraId="51D5BC81" w14:textId="0EEEF111" w:rsidR="009B68C5" w:rsidRPr="00532CC5" w:rsidRDefault="00372CA3" w:rsidP="00532CC5">
      <w:pPr>
        <w:pStyle w:val="LDStandard3"/>
        <w:spacing w:before="120" w:after="120" w:line="264" w:lineRule="auto"/>
        <w:rPr>
          <w:rFonts w:ascii="Arial" w:hAnsi="Arial" w:cs="Arial"/>
        </w:rPr>
      </w:pPr>
      <w:r w:rsidRPr="00532CC5" w:rsidDel="00035B64">
        <w:rPr>
          <w:rFonts w:ascii="Arial" w:hAnsi="Arial" w:cs="Arial"/>
        </w:rPr>
        <w:t>I</w:t>
      </w:r>
      <w:r w:rsidR="00D114C7" w:rsidRPr="00532CC5" w:rsidDel="00035B64">
        <w:rPr>
          <w:rFonts w:ascii="Arial" w:hAnsi="Arial" w:cs="Arial"/>
        </w:rPr>
        <w:t>f the Respondent agrees to Arbitration</w:t>
      </w:r>
      <w:r w:rsidR="0063421A" w:rsidRPr="00532CC5" w:rsidDel="00035B64">
        <w:rPr>
          <w:rFonts w:ascii="Arial" w:hAnsi="Arial" w:cs="Arial"/>
        </w:rPr>
        <w:t>,</w:t>
      </w:r>
      <w:r w:rsidR="00D114C7" w:rsidRPr="00532CC5" w:rsidDel="00035B64">
        <w:rPr>
          <w:rFonts w:ascii="Arial" w:hAnsi="Arial" w:cs="Arial"/>
        </w:rPr>
        <w:t xml:space="preserve"> the VSBC </w:t>
      </w:r>
      <w:r w:rsidR="009B68C5" w:rsidRPr="00532CC5">
        <w:rPr>
          <w:rFonts w:ascii="Arial" w:hAnsi="Arial" w:cs="Arial"/>
        </w:rPr>
        <w:t>must notify the Applicant, who must, within ten business days:</w:t>
      </w:r>
    </w:p>
    <w:p w14:paraId="5B475FDE" w14:textId="703DD4C5" w:rsidR="009B68C5" w:rsidRPr="00532CC5" w:rsidRDefault="001C6510" w:rsidP="00532CC5">
      <w:pPr>
        <w:pStyle w:val="LDStandard4"/>
        <w:tabs>
          <w:tab w:val="clear" w:pos="2552"/>
          <w:tab w:val="num" w:pos="1418"/>
        </w:tabs>
        <w:spacing w:before="120" w:after="120" w:line="264" w:lineRule="auto"/>
        <w:ind w:hanging="1701"/>
        <w:rPr>
          <w:rFonts w:ascii="Arial" w:hAnsi="Arial" w:cs="Arial"/>
        </w:rPr>
      </w:pPr>
      <w:r w:rsidRPr="00532CC5">
        <w:rPr>
          <w:rFonts w:ascii="Arial" w:hAnsi="Arial" w:cs="Arial"/>
        </w:rPr>
        <w:t>r</w:t>
      </w:r>
      <w:r w:rsidR="009B68C5" w:rsidRPr="00532CC5">
        <w:rPr>
          <w:rFonts w:ascii="Arial" w:hAnsi="Arial" w:cs="Arial"/>
        </w:rPr>
        <w:t xml:space="preserve">eturn a signed copy </w:t>
      </w:r>
      <w:r w:rsidR="003B1DA0" w:rsidRPr="00532CC5">
        <w:rPr>
          <w:rFonts w:ascii="Arial" w:hAnsi="Arial" w:cs="Arial"/>
        </w:rPr>
        <w:t xml:space="preserve">of </w:t>
      </w:r>
      <w:r w:rsidR="003B1DA0" w:rsidRPr="00532CC5" w:rsidDel="00035B64">
        <w:rPr>
          <w:rFonts w:ascii="Arial" w:hAnsi="Arial" w:cs="Arial"/>
        </w:rPr>
        <w:t>the</w:t>
      </w:r>
      <w:r w:rsidR="00381BD1" w:rsidRPr="00532CC5" w:rsidDel="00035B64">
        <w:rPr>
          <w:rFonts w:ascii="Arial" w:hAnsi="Arial" w:cs="Arial"/>
        </w:rPr>
        <w:t xml:space="preserve"> Arbitration Agreement </w:t>
      </w:r>
      <w:r w:rsidR="009B68C5" w:rsidRPr="00532CC5">
        <w:rPr>
          <w:rFonts w:ascii="Arial" w:hAnsi="Arial" w:cs="Arial"/>
        </w:rPr>
        <w:t xml:space="preserve">to the VSBC; </w:t>
      </w:r>
    </w:p>
    <w:p w14:paraId="6EB3F967" w14:textId="0C24F99B" w:rsidR="009B68C5" w:rsidRPr="00532CC5" w:rsidRDefault="001C6510" w:rsidP="00532CC5">
      <w:pPr>
        <w:pStyle w:val="LDStandard4"/>
        <w:tabs>
          <w:tab w:val="clear" w:pos="2552"/>
          <w:tab w:val="num" w:pos="1418"/>
        </w:tabs>
        <w:spacing w:before="120" w:after="120" w:line="264" w:lineRule="auto"/>
        <w:ind w:hanging="1701"/>
        <w:rPr>
          <w:rFonts w:ascii="Arial" w:hAnsi="Arial" w:cs="Arial"/>
        </w:rPr>
      </w:pPr>
      <w:r w:rsidRPr="00532CC5">
        <w:rPr>
          <w:rFonts w:ascii="Arial" w:hAnsi="Arial" w:cs="Arial"/>
        </w:rPr>
        <w:lastRenderedPageBreak/>
        <w:t>p</w:t>
      </w:r>
      <w:r w:rsidR="009B68C5" w:rsidRPr="00532CC5">
        <w:rPr>
          <w:rFonts w:ascii="Arial" w:hAnsi="Arial" w:cs="Arial"/>
        </w:rPr>
        <w:t xml:space="preserve">ay to the VSBC the arbitration fee of $295; and </w:t>
      </w:r>
    </w:p>
    <w:p w14:paraId="7811DD43" w14:textId="44B27635" w:rsidR="00694013" w:rsidRPr="00532CC5" w:rsidDel="00035B64" w:rsidRDefault="009B68C5"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provide to the VSBC the Applicant's written submission</w:t>
      </w:r>
      <w:r w:rsidR="001B7E8F" w:rsidRPr="00532CC5" w:rsidDel="00035B64">
        <w:rPr>
          <w:rFonts w:ascii="Arial" w:hAnsi="Arial" w:cs="Arial"/>
        </w:rPr>
        <w:t xml:space="preserve"> </w:t>
      </w:r>
      <w:r w:rsidR="001B7E8F" w:rsidRPr="00532CC5" w:rsidDel="00035B64">
        <w:rPr>
          <w:rFonts w:ascii="Arial" w:hAnsi="Arial" w:cs="Arial"/>
          <w:b/>
        </w:rPr>
        <w:t>of no more than ten pages in length</w:t>
      </w:r>
      <w:r w:rsidR="00612B7B" w:rsidRPr="00532CC5" w:rsidDel="00035B64">
        <w:rPr>
          <w:rFonts w:ascii="Arial" w:hAnsi="Arial" w:cs="Arial"/>
        </w:rPr>
        <w:t xml:space="preserve">. The submission must </w:t>
      </w:r>
      <w:r w:rsidR="001B7E8F" w:rsidRPr="00532CC5" w:rsidDel="00035B64">
        <w:rPr>
          <w:rFonts w:ascii="Arial" w:hAnsi="Arial" w:cs="Arial"/>
        </w:rPr>
        <w:t>set out the statement of facts supporting the Applicant’s claim, the points at issue and the remedy sought (including any monetary claim). The Applicant must attach to their submission any documents that support their claim (including, for example, the contract to which the dispute relates).</w:t>
      </w:r>
    </w:p>
    <w:p w14:paraId="0AF42140" w14:textId="77777777" w:rsidR="00694013" w:rsidRPr="00532CC5" w:rsidRDefault="00694013" w:rsidP="002650DD">
      <w:pPr>
        <w:pStyle w:val="LDStandard2"/>
        <w:spacing w:before="240" w:after="120" w:line="264" w:lineRule="auto"/>
        <w:rPr>
          <w:rFonts w:ascii="Arial" w:hAnsi="Arial" w:cs="Arial"/>
          <w:b/>
        </w:rPr>
      </w:pPr>
      <w:r w:rsidRPr="00532CC5">
        <w:rPr>
          <w:rFonts w:ascii="Arial" w:hAnsi="Arial" w:cs="Arial"/>
          <w:b/>
        </w:rPr>
        <w:t>Exchange of submissions</w:t>
      </w:r>
    </w:p>
    <w:p w14:paraId="52AC5058" w14:textId="3C234A2F" w:rsidR="00694013" w:rsidRPr="00532CC5" w:rsidRDefault="00D63EE2" w:rsidP="00532CC5">
      <w:pPr>
        <w:pStyle w:val="LDStandard3"/>
        <w:spacing w:before="120" w:after="120" w:line="264" w:lineRule="auto"/>
        <w:rPr>
          <w:rFonts w:ascii="Arial" w:hAnsi="Arial" w:cs="Arial"/>
        </w:rPr>
      </w:pPr>
      <w:r w:rsidRPr="00532CC5">
        <w:rPr>
          <w:rFonts w:ascii="Arial" w:hAnsi="Arial" w:cs="Arial"/>
        </w:rPr>
        <w:t>The VSBC will provide t</w:t>
      </w:r>
      <w:r w:rsidR="00DD63C4" w:rsidRPr="00532CC5">
        <w:rPr>
          <w:rFonts w:ascii="Arial" w:hAnsi="Arial" w:cs="Arial"/>
        </w:rPr>
        <w:t>he Applicant’s submission to the Respondent</w:t>
      </w:r>
      <w:r w:rsidRPr="00532CC5">
        <w:rPr>
          <w:rFonts w:ascii="Arial" w:hAnsi="Arial" w:cs="Arial"/>
        </w:rPr>
        <w:t xml:space="preserve">, </w:t>
      </w:r>
      <w:r w:rsidR="00DF12FE" w:rsidRPr="00532CC5">
        <w:rPr>
          <w:rFonts w:ascii="Arial" w:hAnsi="Arial" w:cs="Arial"/>
        </w:rPr>
        <w:t>who</w:t>
      </w:r>
      <w:r w:rsidR="00694013" w:rsidRPr="00532CC5">
        <w:rPr>
          <w:rFonts w:ascii="Arial" w:hAnsi="Arial" w:cs="Arial"/>
        </w:rPr>
        <w:t xml:space="preserve"> must</w:t>
      </w:r>
      <w:r w:rsidRPr="00532CC5">
        <w:rPr>
          <w:rFonts w:ascii="Arial" w:hAnsi="Arial" w:cs="Arial"/>
        </w:rPr>
        <w:t>, within ten business days,</w:t>
      </w:r>
      <w:r w:rsidR="00694013" w:rsidRPr="00532CC5">
        <w:rPr>
          <w:rFonts w:ascii="Arial" w:hAnsi="Arial" w:cs="Arial"/>
        </w:rPr>
        <w:t xml:space="preserve"> provide a written </w:t>
      </w:r>
      <w:r w:rsidR="0048175F" w:rsidRPr="00532CC5">
        <w:rPr>
          <w:rFonts w:ascii="Arial" w:hAnsi="Arial" w:cs="Arial"/>
        </w:rPr>
        <w:t xml:space="preserve">submission </w:t>
      </w:r>
      <w:r w:rsidR="005D3EB2" w:rsidRPr="00532CC5">
        <w:rPr>
          <w:rFonts w:ascii="Arial" w:hAnsi="Arial" w:cs="Arial"/>
        </w:rPr>
        <w:t xml:space="preserve">in </w:t>
      </w:r>
      <w:r w:rsidR="00694013" w:rsidRPr="00532CC5">
        <w:rPr>
          <w:rFonts w:ascii="Arial" w:hAnsi="Arial" w:cs="Arial"/>
        </w:rPr>
        <w:t>response</w:t>
      </w:r>
      <w:r w:rsidR="00257BA0" w:rsidRPr="00532CC5">
        <w:rPr>
          <w:rFonts w:ascii="Arial" w:hAnsi="Arial" w:cs="Arial"/>
        </w:rPr>
        <w:t xml:space="preserve"> </w:t>
      </w:r>
      <w:r w:rsidR="00694013" w:rsidRPr="00532CC5">
        <w:rPr>
          <w:rFonts w:ascii="Arial" w:hAnsi="Arial" w:cs="Arial"/>
        </w:rPr>
        <w:t xml:space="preserve">of </w:t>
      </w:r>
      <w:r w:rsidR="00694013" w:rsidRPr="00532CC5">
        <w:rPr>
          <w:rFonts w:ascii="Arial" w:hAnsi="Arial" w:cs="Arial"/>
          <w:b/>
          <w:bCs/>
        </w:rPr>
        <w:t>no more than ten pages</w:t>
      </w:r>
      <w:r w:rsidR="002A43FA" w:rsidRPr="00532CC5">
        <w:rPr>
          <w:rFonts w:ascii="Arial" w:hAnsi="Arial" w:cs="Arial"/>
          <w:b/>
          <w:bCs/>
        </w:rPr>
        <w:t xml:space="preserve"> in length</w:t>
      </w:r>
      <w:r w:rsidR="00A6714D" w:rsidRPr="00532CC5">
        <w:rPr>
          <w:rFonts w:ascii="Arial" w:hAnsi="Arial" w:cs="Arial"/>
        </w:rPr>
        <w:t>.</w:t>
      </w:r>
    </w:p>
    <w:p w14:paraId="37931B07" w14:textId="018877C5" w:rsidR="00694013" w:rsidRPr="00532CC5" w:rsidRDefault="00D63EE2" w:rsidP="00532CC5">
      <w:pPr>
        <w:pStyle w:val="LDStandard3"/>
        <w:spacing w:before="120" w:after="120" w:line="264" w:lineRule="auto"/>
        <w:rPr>
          <w:rFonts w:ascii="Arial" w:hAnsi="Arial" w:cs="Arial"/>
        </w:rPr>
      </w:pPr>
      <w:r w:rsidRPr="00532CC5">
        <w:rPr>
          <w:rFonts w:ascii="Arial" w:hAnsi="Arial" w:cs="Arial"/>
        </w:rPr>
        <w:t>The VSBC will provide the Respondent's submission to the Applicant, and</w:t>
      </w:r>
      <w:r w:rsidR="00C56452" w:rsidRPr="00532CC5">
        <w:rPr>
          <w:rFonts w:ascii="Arial" w:hAnsi="Arial" w:cs="Arial"/>
        </w:rPr>
        <w:t xml:space="preserve"> </w:t>
      </w:r>
      <w:r w:rsidR="001C6510" w:rsidRPr="00532CC5">
        <w:rPr>
          <w:rFonts w:ascii="Arial" w:hAnsi="Arial" w:cs="Arial"/>
        </w:rPr>
        <w:t>t</w:t>
      </w:r>
      <w:r w:rsidR="001343EF" w:rsidRPr="00532CC5">
        <w:rPr>
          <w:rFonts w:ascii="Arial" w:hAnsi="Arial" w:cs="Arial"/>
        </w:rPr>
        <w:t>he Applicant must provide to the VSBC</w:t>
      </w:r>
      <w:r w:rsidR="00C56452" w:rsidRPr="00532CC5">
        <w:rPr>
          <w:rFonts w:ascii="Arial" w:hAnsi="Arial" w:cs="Arial"/>
        </w:rPr>
        <w:t>,</w:t>
      </w:r>
      <w:r w:rsidR="00C56452" w:rsidRPr="00532CC5">
        <w:rPr>
          <w:rFonts w:ascii="Arial" w:hAnsi="Arial" w:cs="Arial"/>
          <w:b/>
          <w:bCs/>
        </w:rPr>
        <w:t xml:space="preserve"> </w:t>
      </w:r>
      <w:r w:rsidR="00C56452" w:rsidRPr="00532CC5">
        <w:rPr>
          <w:rFonts w:ascii="Arial" w:hAnsi="Arial" w:cs="Arial"/>
        </w:rPr>
        <w:t>within ten business days,</w:t>
      </w:r>
      <w:r w:rsidR="001343EF" w:rsidRPr="00532CC5">
        <w:rPr>
          <w:rFonts w:ascii="Arial" w:hAnsi="Arial" w:cs="Arial"/>
        </w:rPr>
        <w:t xml:space="preserve"> any submission in reply to the Respondent's submission, </w:t>
      </w:r>
      <w:r w:rsidR="00694013" w:rsidRPr="00532CC5">
        <w:rPr>
          <w:rFonts w:ascii="Arial" w:hAnsi="Arial" w:cs="Arial"/>
        </w:rPr>
        <w:t xml:space="preserve">which </w:t>
      </w:r>
      <w:r w:rsidR="001343EF" w:rsidRPr="00532CC5">
        <w:rPr>
          <w:rFonts w:ascii="Arial" w:hAnsi="Arial" w:cs="Arial"/>
        </w:rPr>
        <w:t xml:space="preserve">may </w:t>
      </w:r>
      <w:r w:rsidR="00694013" w:rsidRPr="00532CC5">
        <w:rPr>
          <w:rFonts w:ascii="Arial" w:hAnsi="Arial" w:cs="Arial"/>
        </w:rPr>
        <w:t xml:space="preserve">be </w:t>
      </w:r>
      <w:r w:rsidR="00694013" w:rsidRPr="00532CC5">
        <w:rPr>
          <w:rFonts w:ascii="Arial" w:hAnsi="Arial" w:cs="Arial"/>
          <w:b/>
          <w:bCs/>
        </w:rPr>
        <w:t>no more than</w:t>
      </w:r>
      <w:r w:rsidR="00694013" w:rsidRPr="00532CC5">
        <w:rPr>
          <w:rFonts w:ascii="Arial" w:hAnsi="Arial" w:cs="Arial"/>
        </w:rPr>
        <w:t xml:space="preserve"> </w:t>
      </w:r>
      <w:r w:rsidR="00694013" w:rsidRPr="00532CC5">
        <w:rPr>
          <w:rFonts w:ascii="Arial" w:hAnsi="Arial" w:cs="Arial"/>
          <w:b/>
          <w:bCs/>
        </w:rPr>
        <w:t>three pages in length</w:t>
      </w:r>
      <w:r w:rsidR="00694013" w:rsidRPr="00532CC5">
        <w:rPr>
          <w:rFonts w:ascii="Arial" w:hAnsi="Arial" w:cs="Arial"/>
        </w:rPr>
        <w:t xml:space="preserve">. </w:t>
      </w:r>
      <w:r w:rsidRPr="00532CC5">
        <w:rPr>
          <w:rFonts w:ascii="Arial" w:hAnsi="Arial" w:cs="Arial"/>
        </w:rPr>
        <w:t>The VSBC will provide any reply submission made by the Applicant to the Respondent.</w:t>
      </w:r>
    </w:p>
    <w:p w14:paraId="7C21C0D9" w14:textId="4911A502" w:rsidR="006A27E7" w:rsidRPr="00532CC5" w:rsidRDefault="00952E35" w:rsidP="002650DD">
      <w:pPr>
        <w:pStyle w:val="LDStandard2"/>
        <w:spacing w:before="240" w:after="120" w:line="264" w:lineRule="auto"/>
        <w:rPr>
          <w:rFonts w:ascii="Arial" w:hAnsi="Arial" w:cs="Arial"/>
          <w:b/>
          <w:bCs/>
        </w:rPr>
      </w:pPr>
      <w:r w:rsidRPr="00532CC5">
        <w:rPr>
          <w:rFonts w:ascii="Arial" w:hAnsi="Arial" w:cs="Arial"/>
          <w:b/>
          <w:bCs/>
        </w:rPr>
        <w:t>Appointment of Arbitrator</w:t>
      </w:r>
    </w:p>
    <w:p w14:paraId="5D58DECE" w14:textId="05A203FB" w:rsidR="006A27E7" w:rsidRPr="00532CC5" w:rsidRDefault="00592013" w:rsidP="00532CC5">
      <w:pPr>
        <w:pStyle w:val="LDStandard3"/>
        <w:spacing w:before="120" w:after="120" w:line="264" w:lineRule="auto"/>
        <w:rPr>
          <w:rFonts w:ascii="Arial" w:hAnsi="Arial" w:cs="Arial"/>
        </w:rPr>
      </w:pPr>
      <w:r w:rsidRPr="00532CC5">
        <w:rPr>
          <w:rFonts w:ascii="Arial" w:hAnsi="Arial" w:cs="Arial"/>
        </w:rPr>
        <w:t xml:space="preserve">After submissions have been completed by the parties, the VSBC </w:t>
      </w:r>
      <w:r w:rsidR="0088034A" w:rsidRPr="00532CC5">
        <w:rPr>
          <w:rFonts w:ascii="Arial" w:hAnsi="Arial" w:cs="Arial"/>
        </w:rPr>
        <w:t xml:space="preserve">must </w:t>
      </w:r>
      <w:r w:rsidR="00F3148E" w:rsidRPr="00532CC5">
        <w:rPr>
          <w:rFonts w:ascii="Arial" w:hAnsi="Arial" w:cs="Arial"/>
        </w:rPr>
        <w:t>nominate an Arbitrator and advise the parties of the Arbitrator’s details.</w:t>
      </w:r>
    </w:p>
    <w:p w14:paraId="1C875E57" w14:textId="5872E3E3" w:rsidR="00EA4A96" w:rsidRPr="00532CC5" w:rsidRDefault="002F1324" w:rsidP="00532CC5">
      <w:pPr>
        <w:pStyle w:val="LDStandard3"/>
        <w:spacing w:before="120" w:after="120" w:line="264" w:lineRule="auto"/>
        <w:rPr>
          <w:rFonts w:ascii="Arial" w:hAnsi="Arial" w:cs="Arial"/>
        </w:rPr>
      </w:pPr>
      <w:r w:rsidRPr="00532CC5">
        <w:rPr>
          <w:rFonts w:ascii="Arial" w:hAnsi="Arial" w:cs="Arial"/>
        </w:rPr>
        <w:t>If</w:t>
      </w:r>
      <w:r w:rsidR="00C56452" w:rsidRPr="00532CC5">
        <w:rPr>
          <w:rFonts w:ascii="Arial" w:hAnsi="Arial" w:cs="Arial"/>
        </w:rPr>
        <w:t xml:space="preserve"> </w:t>
      </w:r>
      <w:r w:rsidR="004B7944" w:rsidRPr="00532CC5">
        <w:rPr>
          <w:rFonts w:ascii="Arial" w:hAnsi="Arial" w:cs="Arial"/>
        </w:rPr>
        <w:t>any party considers that the Arbitrator should not act as the Arbitrator of the dispute due to a conflict of interest or inability to arbitrate impartially</w:t>
      </w:r>
      <w:r w:rsidR="00BB5827" w:rsidRPr="00532CC5">
        <w:rPr>
          <w:rFonts w:ascii="Arial" w:hAnsi="Arial" w:cs="Arial"/>
        </w:rPr>
        <w:t>,</w:t>
      </w:r>
      <w:r w:rsidR="00FE5E4B" w:rsidRPr="00532CC5">
        <w:rPr>
          <w:rFonts w:ascii="Arial" w:hAnsi="Arial" w:cs="Arial"/>
        </w:rPr>
        <w:t xml:space="preserve"> after being advised of the Arbitrator’s details or throughout the</w:t>
      </w:r>
      <w:r w:rsidR="00BB5827" w:rsidRPr="00532CC5">
        <w:rPr>
          <w:rFonts w:ascii="Arial" w:hAnsi="Arial" w:cs="Arial"/>
        </w:rPr>
        <w:t xml:space="preserve"> process</w:t>
      </w:r>
      <w:r w:rsidR="004B7944" w:rsidRPr="00532CC5">
        <w:rPr>
          <w:rFonts w:ascii="Arial" w:hAnsi="Arial" w:cs="Arial"/>
        </w:rPr>
        <w:t xml:space="preserve">, they must notify the VSBC. The VSBC </w:t>
      </w:r>
      <w:r w:rsidR="0088034A" w:rsidRPr="00532CC5">
        <w:rPr>
          <w:rFonts w:ascii="Arial" w:hAnsi="Arial" w:cs="Arial"/>
        </w:rPr>
        <w:t xml:space="preserve">must </w:t>
      </w:r>
      <w:r w:rsidR="004B7944" w:rsidRPr="00532CC5">
        <w:rPr>
          <w:rFonts w:ascii="Arial" w:hAnsi="Arial" w:cs="Arial"/>
        </w:rPr>
        <w:t>decide whether to appoint a different arbitrator.</w:t>
      </w:r>
    </w:p>
    <w:p w14:paraId="0382DC4E" w14:textId="2FEA7E6D" w:rsidR="006A27E7" w:rsidRPr="00532CC5" w:rsidRDefault="0027226C" w:rsidP="00532CC5">
      <w:pPr>
        <w:pStyle w:val="LDStandard3"/>
        <w:spacing w:before="120" w:after="120" w:line="264" w:lineRule="auto"/>
        <w:rPr>
          <w:rFonts w:ascii="Arial" w:hAnsi="Arial" w:cs="Arial"/>
        </w:rPr>
      </w:pPr>
      <w:r w:rsidRPr="00532CC5">
        <w:rPr>
          <w:rFonts w:ascii="Arial" w:hAnsi="Arial" w:cs="Arial"/>
        </w:rPr>
        <w:t xml:space="preserve">If no </w:t>
      </w:r>
      <w:r w:rsidR="006A7FE3" w:rsidRPr="00532CC5">
        <w:rPr>
          <w:rFonts w:ascii="Arial" w:hAnsi="Arial" w:cs="Arial"/>
        </w:rPr>
        <w:t xml:space="preserve">notification </w:t>
      </w:r>
      <w:r w:rsidR="00EA4A96" w:rsidRPr="00532CC5">
        <w:rPr>
          <w:rFonts w:ascii="Arial" w:hAnsi="Arial" w:cs="Arial"/>
        </w:rPr>
        <w:t xml:space="preserve">under Rule 4.2 </w:t>
      </w:r>
      <w:r w:rsidR="00C36AC6" w:rsidRPr="00532CC5">
        <w:rPr>
          <w:rFonts w:ascii="Arial" w:hAnsi="Arial" w:cs="Arial"/>
        </w:rPr>
        <w:t xml:space="preserve">concerning the Arbitrator’s initial appointment </w:t>
      </w:r>
      <w:r w:rsidR="006A7FE3" w:rsidRPr="00532CC5">
        <w:rPr>
          <w:rFonts w:ascii="Arial" w:hAnsi="Arial" w:cs="Arial"/>
        </w:rPr>
        <w:t>is received by the VSBC</w:t>
      </w:r>
      <w:r w:rsidR="00A23680" w:rsidRPr="00532CC5">
        <w:rPr>
          <w:rFonts w:ascii="Arial" w:hAnsi="Arial" w:cs="Arial"/>
        </w:rPr>
        <w:t xml:space="preserve"> within five days </w:t>
      </w:r>
      <w:r w:rsidR="002508F3" w:rsidRPr="00532CC5">
        <w:rPr>
          <w:rFonts w:ascii="Arial" w:hAnsi="Arial" w:cs="Arial"/>
        </w:rPr>
        <w:t>of the parties being notified of the Arbitrator’s details</w:t>
      </w:r>
      <w:r w:rsidR="00BA1085" w:rsidRPr="00532CC5">
        <w:rPr>
          <w:rFonts w:ascii="Arial" w:hAnsi="Arial" w:cs="Arial"/>
        </w:rPr>
        <w:t>,</w:t>
      </w:r>
      <w:r w:rsidR="006A7FE3" w:rsidRPr="00532CC5">
        <w:rPr>
          <w:rFonts w:ascii="Arial" w:hAnsi="Arial" w:cs="Arial"/>
        </w:rPr>
        <w:t xml:space="preserve"> the Arbitrator will be appointed and </w:t>
      </w:r>
      <w:r w:rsidR="00A434B8" w:rsidRPr="00532CC5">
        <w:rPr>
          <w:rFonts w:ascii="Arial" w:hAnsi="Arial" w:cs="Arial"/>
        </w:rPr>
        <w:t>will sign the Arbitration Agreement.</w:t>
      </w:r>
      <w:r w:rsidR="00EA4A96" w:rsidRPr="00532CC5">
        <w:rPr>
          <w:rFonts w:ascii="Arial" w:hAnsi="Arial" w:cs="Arial"/>
        </w:rPr>
        <w:t xml:space="preserve"> A copy of the fully signed Arbitration Agreement will be provided to the parties.</w:t>
      </w:r>
    </w:p>
    <w:p w14:paraId="5ECA2428" w14:textId="5AEF2171" w:rsidR="00694013" w:rsidRPr="00532CC5" w:rsidRDefault="00694013" w:rsidP="00532CC5">
      <w:pPr>
        <w:pStyle w:val="LDStandard3"/>
        <w:spacing w:before="120" w:after="120" w:line="264" w:lineRule="auto"/>
        <w:rPr>
          <w:rFonts w:ascii="Arial" w:hAnsi="Arial" w:cs="Arial"/>
        </w:rPr>
      </w:pPr>
      <w:r w:rsidRPr="00532CC5">
        <w:rPr>
          <w:rFonts w:ascii="Arial" w:hAnsi="Arial" w:cs="Arial"/>
        </w:rPr>
        <w:t xml:space="preserve">The </w:t>
      </w:r>
      <w:r w:rsidR="0088034A" w:rsidRPr="00532CC5">
        <w:rPr>
          <w:rFonts w:ascii="Arial" w:hAnsi="Arial" w:cs="Arial"/>
        </w:rPr>
        <w:t xml:space="preserve">VSBC will provide the </w:t>
      </w:r>
      <w:r w:rsidRPr="00532CC5">
        <w:rPr>
          <w:rFonts w:ascii="Arial" w:hAnsi="Arial" w:cs="Arial"/>
        </w:rPr>
        <w:t>parties’ submissions to the Arbitrator</w:t>
      </w:r>
      <w:r w:rsidR="00D33377" w:rsidRPr="00532CC5">
        <w:rPr>
          <w:rFonts w:ascii="Arial" w:hAnsi="Arial" w:cs="Arial"/>
        </w:rPr>
        <w:t>. W</w:t>
      </w:r>
      <w:r w:rsidRPr="00532CC5">
        <w:rPr>
          <w:rFonts w:ascii="Arial" w:hAnsi="Arial" w:cs="Arial"/>
        </w:rPr>
        <w:t>ithin five business days</w:t>
      </w:r>
      <w:r w:rsidR="00D33377" w:rsidRPr="00532CC5">
        <w:rPr>
          <w:rFonts w:ascii="Arial" w:hAnsi="Arial" w:cs="Arial"/>
        </w:rPr>
        <w:t xml:space="preserve"> t</w:t>
      </w:r>
      <w:r w:rsidR="009508CB" w:rsidRPr="00532CC5">
        <w:rPr>
          <w:rFonts w:ascii="Arial" w:hAnsi="Arial" w:cs="Arial"/>
        </w:rPr>
        <w:t xml:space="preserve">he Arbitrator </w:t>
      </w:r>
      <w:r w:rsidR="002915FB" w:rsidRPr="00532CC5">
        <w:rPr>
          <w:rFonts w:ascii="Arial" w:hAnsi="Arial" w:cs="Arial"/>
        </w:rPr>
        <w:t xml:space="preserve">will </w:t>
      </w:r>
      <w:r w:rsidR="00D33377" w:rsidRPr="00532CC5">
        <w:rPr>
          <w:rFonts w:ascii="Arial" w:hAnsi="Arial" w:cs="Arial"/>
        </w:rPr>
        <w:t xml:space="preserve">advise the parties and the VSBC </w:t>
      </w:r>
      <w:r w:rsidR="001771AD" w:rsidRPr="00532CC5">
        <w:rPr>
          <w:rFonts w:ascii="Arial" w:hAnsi="Arial" w:cs="Arial"/>
        </w:rPr>
        <w:t xml:space="preserve">if </w:t>
      </w:r>
      <w:r w:rsidR="00072955" w:rsidRPr="00532CC5">
        <w:rPr>
          <w:rFonts w:ascii="Arial" w:hAnsi="Arial" w:cs="Arial"/>
        </w:rPr>
        <w:t xml:space="preserve">further </w:t>
      </w:r>
      <w:r w:rsidR="00C6700F" w:rsidRPr="00532CC5">
        <w:rPr>
          <w:rFonts w:ascii="Arial" w:hAnsi="Arial" w:cs="Arial"/>
        </w:rPr>
        <w:t xml:space="preserve">information, material or documents </w:t>
      </w:r>
      <w:r w:rsidR="0058717C" w:rsidRPr="00532CC5">
        <w:rPr>
          <w:rFonts w:ascii="Arial" w:hAnsi="Arial" w:cs="Arial"/>
        </w:rPr>
        <w:t>is</w:t>
      </w:r>
      <w:r w:rsidR="0088034A" w:rsidRPr="00532CC5">
        <w:rPr>
          <w:rFonts w:ascii="Arial" w:hAnsi="Arial" w:cs="Arial"/>
        </w:rPr>
        <w:t xml:space="preserve"> required from the parties.</w:t>
      </w:r>
      <w:r w:rsidR="00072955" w:rsidRPr="00532CC5">
        <w:rPr>
          <w:rFonts w:ascii="Arial" w:hAnsi="Arial" w:cs="Arial"/>
        </w:rPr>
        <w:t xml:space="preserve"> The </w:t>
      </w:r>
      <w:r w:rsidR="00C6700F" w:rsidRPr="00532CC5">
        <w:rPr>
          <w:rFonts w:ascii="Arial" w:hAnsi="Arial" w:cs="Arial"/>
        </w:rPr>
        <w:t xml:space="preserve">Arbitrator </w:t>
      </w:r>
      <w:r w:rsidR="009508CB" w:rsidRPr="00532CC5">
        <w:rPr>
          <w:rFonts w:ascii="Arial" w:hAnsi="Arial" w:cs="Arial"/>
        </w:rPr>
        <w:t xml:space="preserve">may set time limits </w:t>
      </w:r>
      <w:r w:rsidR="00931184" w:rsidRPr="00532CC5">
        <w:rPr>
          <w:rFonts w:ascii="Arial" w:hAnsi="Arial" w:cs="Arial"/>
        </w:rPr>
        <w:t xml:space="preserve">and give directions to the parties </w:t>
      </w:r>
      <w:r w:rsidR="009508CB" w:rsidRPr="00532CC5">
        <w:rPr>
          <w:rFonts w:ascii="Arial" w:hAnsi="Arial" w:cs="Arial"/>
        </w:rPr>
        <w:t xml:space="preserve">for </w:t>
      </w:r>
      <w:r w:rsidR="0088034A" w:rsidRPr="00532CC5">
        <w:rPr>
          <w:rFonts w:ascii="Arial" w:hAnsi="Arial" w:cs="Arial"/>
        </w:rPr>
        <w:t xml:space="preserve">the provision </w:t>
      </w:r>
      <w:r w:rsidR="00E53CDE" w:rsidRPr="00532CC5">
        <w:rPr>
          <w:rFonts w:ascii="Arial" w:hAnsi="Arial" w:cs="Arial"/>
        </w:rPr>
        <w:t xml:space="preserve">of </w:t>
      </w:r>
      <w:r w:rsidR="00C45456" w:rsidRPr="00532CC5">
        <w:rPr>
          <w:rFonts w:ascii="Arial" w:hAnsi="Arial" w:cs="Arial"/>
        </w:rPr>
        <w:t>any</w:t>
      </w:r>
      <w:r w:rsidR="0088034A" w:rsidRPr="00532CC5">
        <w:rPr>
          <w:rFonts w:ascii="Arial" w:hAnsi="Arial" w:cs="Arial"/>
        </w:rPr>
        <w:t xml:space="preserve"> such</w:t>
      </w:r>
      <w:r w:rsidR="00931184" w:rsidRPr="00532CC5">
        <w:rPr>
          <w:rFonts w:ascii="Arial" w:hAnsi="Arial" w:cs="Arial"/>
        </w:rPr>
        <w:t xml:space="preserve"> </w:t>
      </w:r>
      <w:r w:rsidR="00E53CDE" w:rsidRPr="00532CC5">
        <w:rPr>
          <w:rFonts w:ascii="Arial" w:hAnsi="Arial" w:cs="Arial"/>
        </w:rPr>
        <w:t>further information</w:t>
      </w:r>
      <w:r w:rsidR="00931184" w:rsidRPr="00532CC5">
        <w:rPr>
          <w:rFonts w:ascii="Arial" w:hAnsi="Arial" w:cs="Arial"/>
        </w:rPr>
        <w:t>, or documents</w:t>
      </w:r>
      <w:r w:rsidR="00C56452" w:rsidRPr="00532CC5">
        <w:rPr>
          <w:rFonts w:ascii="Arial" w:hAnsi="Arial" w:cs="Arial"/>
        </w:rPr>
        <w:t xml:space="preserve"> or evidence</w:t>
      </w:r>
      <w:r w:rsidR="00931184" w:rsidRPr="00532CC5">
        <w:rPr>
          <w:rFonts w:ascii="Arial" w:hAnsi="Arial" w:cs="Arial"/>
        </w:rPr>
        <w:t>.</w:t>
      </w:r>
    </w:p>
    <w:p w14:paraId="387E4BFC" w14:textId="77777777" w:rsidR="00A900CD" w:rsidRPr="00532CC5" w:rsidRDefault="00A900CD" w:rsidP="00532CC5">
      <w:pPr>
        <w:pStyle w:val="LDStandard2"/>
        <w:keepNext/>
        <w:keepLines/>
        <w:tabs>
          <w:tab w:val="num" w:pos="1700"/>
        </w:tabs>
        <w:spacing w:before="120" w:after="120" w:line="264" w:lineRule="auto"/>
        <w:rPr>
          <w:rFonts w:ascii="Arial" w:hAnsi="Arial" w:cs="Arial"/>
          <w:b/>
        </w:rPr>
      </w:pPr>
      <w:r w:rsidRPr="00532CC5">
        <w:rPr>
          <w:rFonts w:ascii="Arial" w:hAnsi="Arial" w:cs="Arial"/>
          <w:b/>
        </w:rPr>
        <w:lastRenderedPageBreak/>
        <w:t>Time limits, form of documents</w:t>
      </w:r>
    </w:p>
    <w:p w14:paraId="0EB063FE" w14:textId="505AFD6C" w:rsidR="00A900CD" w:rsidRPr="00532CC5" w:rsidRDefault="00A900CD" w:rsidP="00532CC5">
      <w:pPr>
        <w:pStyle w:val="LDStandard3"/>
        <w:keepNext/>
        <w:keepLines/>
        <w:spacing w:before="120" w:after="120" w:line="264" w:lineRule="auto"/>
        <w:rPr>
          <w:rFonts w:ascii="Arial" w:hAnsi="Arial" w:cs="Arial"/>
        </w:rPr>
      </w:pPr>
      <w:r w:rsidRPr="00532CC5">
        <w:rPr>
          <w:rFonts w:ascii="Arial" w:hAnsi="Arial" w:cs="Arial"/>
        </w:rPr>
        <w:t xml:space="preserve">Page limits stipulated in these Rules </w:t>
      </w:r>
      <w:r w:rsidR="00361E24" w:rsidRPr="00532CC5">
        <w:rPr>
          <w:rFonts w:ascii="Arial" w:hAnsi="Arial" w:cs="Arial"/>
        </w:rPr>
        <w:t xml:space="preserve">are to be completed in 12-point font and </w:t>
      </w:r>
      <w:r w:rsidRPr="00532CC5">
        <w:rPr>
          <w:rFonts w:ascii="Arial" w:hAnsi="Arial" w:cs="Arial"/>
        </w:rPr>
        <w:t>do not include any evidence (including the contract relating to the dispute) provided in support of the parties' submissions.</w:t>
      </w:r>
    </w:p>
    <w:p w14:paraId="528E10DD" w14:textId="2502A6E8" w:rsidR="003B3362" w:rsidRPr="00532CC5" w:rsidRDefault="00A900CD" w:rsidP="00532CC5">
      <w:pPr>
        <w:pStyle w:val="LDStandard3"/>
        <w:keepNext/>
        <w:keepLines/>
        <w:tabs>
          <w:tab w:val="clear" w:pos="1701"/>
        </w:tabs>
        <w:spacing w:before="120" w:after="120" w:line="264" w:lineRule="auto"/>
        <w:ind w:left="851" w:hanging="851"/>
        <w:rPr>
          <w:rFonts w:ascii="Arial" w:hAnsi="Arial" w:cs="Arial"/>
          <w:b/>
        </w:rPr>
      </w:pPr>
      <w:r w:rsidRPr="00532CC5">
        <w:rPr>
          <w:rFonts w:ascii="Arial" w:hAnsi="Arial" w:cs="Arial"/>
        </w:rPr>
        <w:t xml:space="preserve">The VSBC may extend time for compliance with deadlines for the exchange of submissions </w:t>
      </w:r>
      <w:r w:rsidR="00B62087" w:rsidRPr="00532CC5">
        <w:rPr>
          <w:rFonts w:ascii="Arial" w:hAnsi="Arial" w:cs="Arial"/>
        </w:rPr>
        <w:t>and the Arbitrator may similarly do so f</w:t>
      </w:r>
      <w:r w:rsidR="00E53CDE" w:rsidRPr="00532CC5">
        <w:rPr>
          <w:rFonts w:ascii="Arial" w:hAnsi="Arial" w:cs="Arial"/>
        </w:rPr>
        <w:t>or provision of further information</w:t>
      </w:r>
      <w:r w:rsidR="00FA563A" w:rsidRPr="00532CC5">
        <w:rPr>
          <w:rFonts w:ascii="Arial" w:hAnsi="Arial" w:cs="Arial"/>
        </w:rPr>
        <w:t>,</w:t>
      </w:r>
      <w:r w:rsidR="00B12057" w:rsidRPr="00532CC5">
        <w:rPr>
          <w:rFonts w:ascii="Arial" w:hAnsi="Arial" w:cs="Arial"/>
        </w:rPr>
        <w:t xml:space="preserve"> documents</w:t>
      </w:r>
      <w:r w:rsidR="00C56452" w:rsidRPr="00532CC5">
        <w:rPr>
          <w:rFonts w:ascii="Arial" w:hAnsi="Arial" w:cs="Arial"/>
        </w:rPr>
        <w:t xml:space="preserve"> or evidence</w:t>
      </w:r>
      <w:r w:rsidR="00B12057" w:rsidRPr="00532CC5">
        <w:rPr>
          <w:rFonts w:ascii="Arial" w:hAnsi="Arial" w:cs="Arial"/>
        </w:rPr>
        <w:t xml:space="preserve"> </w:t>
      </w:r>
      <w:r w:rsidR="00E53CDE" w:rsidRPr="00532CC5">
        <w:rPr>
          <w:rFonts w:ascii="Arial" w:hAnsi="Arial" w:cs="Arial"/>
        </w:rPr>
        <w:t xml:space="preserve">under </w:t>
      </w:r>
      <w:r w:rsidRPr="00532CC5">
        <w:rPr>
          <w:rFonts w:ascii="Arial" w:hAnsi="Arial" w:cs="Arial"/>
        </w:rPr>
        <w:t>these Rules.</w:t>
      </w:r>
      <w:r w:rsidR="00A607A8" w:rsidRPr="00532CC5">
        <w:rPr>
          <w:rFonts w:ascii="Arial" w:hAnsi="Arial" w:cs="Arial"/>
        </w:rPr>
        <w:t xml:space="preserve"> </w:t>
      </w:r>
    </w:p>
    <w:p w14:paraId="61A35BC4" w14:textId="38A6498A" w:rsidR="00D114C7" w:rsidRPr="00532CC5" w:rsidRDefault="00D114C7" w:rsidP="002650DD">
      <w:pPr>
        <w:pStyle w:val="LDStandard2"/>
        <w:spacing w:before="240" w:after="120" w:line="264" w:lineRule="auto"/>
        <w:rPr>
          <w:rFonts w:ascii="Arial" w:hAnsi="Arial" w:cs="Arial"/>
          <w:b/>
        </w:rPr>
      </w:pPr>
      <w:r w:rsidRPr="00532CC5">
        <w:rPr>
          <w:rFonts w:ascii="Arial" w:hAnsi="Arial" w:cs="Arial"/>
          <w:b/>
        </w:rPr>
        <w:t>Hearing</w:t>
      </w:r>
    </w:p>
    <w:p w14:paraId="530453F4" w14:textId="03D59C78" w:rsidR="00D114C7" w:rsidRPr="00532CC5" w:rsidRDefault="00D114C7" w:rsidP="00532CC5">
      <w:pPr>
        <w:pStyle w:val="LDStandard3"/>
        <w:spacing w:before="120" w:after="120" w:line="264" w:lineRule="auto"/>
        <w:rPr>
          <w:rFonts w:ascii="Arial" w:hAnsi="Arial" w:cs="Arial"/>
          <w:bCs/>
        </w:rPr>
      </w:pPr>
      <w:r w:rsidRPr="00532CC5">
        <w:rPr>
          <w:rFonts w:ascii="Arial" w:hAnsi="Arial" w:cs="Arial"/>
        </w:rPr>
        <w:t>Within five business days of receiving all submissions or any further information or documents requested by the Arbitrator</w:t>
      </w:r>
      <w:r w:rsidR="00734568" w:rsidRPr="00532CC5">
        <w:rPr>
          <w:rFonts w:ascii="Arial" w:hAnsi="Arial" w:cs="Arial"/>
        </w:rPr>
        <w:t xml:space="preserve"> under Rule </w:t>
      </w:r>
      <w:r w:rsidR="005B0C55" w:rsidRPr="00532CC5">
        <w:rPr>
          <w:rFonts w:ascii="Arial" w:hAnsi="Arial" w:cs="Arial"/>
        </w:rPr>
        <w:t>4</w:t>
      </w:r>
      <w:r w:rsidR="001569B7" w:rsidRPr="00532CC5">
        <w:rPr>
          <w:rFonts w:ascii="Arial" w:hAnsi="Arial" w:cs="Arial"/>
        </w:rPr>
        <w:t>.4</w:t>
      </w:r>
      <w:r w:rsidRPr="00532CC5">
        <w:rPr>
          <w:rFonts w:ascii="Arial" w:hAnsi="Arial" w:cs="Arial"/>
        </w:rPr>
        <w:t xml:space="preserve">, the Arbitrator will decide and advise the parties and </w:t>
      </w:r>
      <w:r w:rsidR="001569B7" w:rsidRPr="00532CC5">
        <w:rPr>
          <w:rFonts w:ascii="Arial" w:hAnsi="Arial" w:cs="Arial"/>
        </w:rPr>
        <w:t xml:space="preserve">the </w:t>
      </w:r>
      <w:r w:rsidRPr="00532CC5">
        <w:rPr>
          <w:rFonts w:ascii="Arial" w:hAnsi="Arial" w:cs="Arial"/>
        </w:rPr>
        <w:t>VSBC if it is necessary to hold a hearing requiring attendance and or oral submissions by the parties</w:t>
      </w:r>
      <w:r w:rsidR="001569B7" w:rsidRPr="00532CC5">
        <w:rPr>
          <w:rFonts w:ascii="Arial" w:hAnsi="Arial" w:cs="Arial"/>
        </w:rPr>
        <w:t>.</w:t>
      </w:r>
      <w:r w:rsidR="00B34E00" w:rsidRPr="00532CC5">
        <w:rPr>
          <w:rFonts w:ascii="Arial" w:hAnsi="Arial" w:cs="Arial"/>
        </w:rPr>
        <w:t xml:space="preserve"> If a hearing is </w:t>
      </w:r>
      <w:r w:rsidR="003B1DA0" w:rsidRPr="00532CC5">
        <w:rPr>
          <w:rFonts w:ascii="Arial" w:hAnsi="Arial" w:cs="Arial"/>
        </w:rPr>
        <w:t>required,</w:t>
      </w:r>
      <w:r w:rsidR="00EA197D" w:rsidRPr="00532CC5">
        <w:rPr>
          <w:rFonts w:ascii="Arial" w:hAnsi="Arial" w:cs="Arial"/>
        </w:rPr>
        <w:t xml:space="preserve"> </w:t>
      </w:r>
      <w:r w:rsidRPr="00532CC5">
        <w:rPr>
          <w:rFonts w:ascii="Arial" w:hAnsi="Arial" w:cs="Arial"/>
        </w:rPr>
        <w:t>the VSBC will contact the parties to make the necessary arrangements.</w:t>
      </w:r>
    </w:p>
    <w:p w14:paraId="6815AB1A" w14:textId="13472FD1" w:rsidR="00D114C7" w:rsidRPr="00532CC5" w:rsidRDefault="00D114C7" w:rsidP="00532CC5">
      <w:pPr>
        <w:pStyle w:val="LDStandard3"/>
        <w:spacing w:before="120" w:after="120" w:line="264" w:lineRule="auto"/>
        <w:rPr>
          <w:rFonts w:ascii="Arial" w:hAnsi="Arial" w:cs="Arial"/>
        </w:rPr>
      </w:pPr>
      <w:r w:rsidRPr="00532CC5">
        <w:rPr>
          <w:rFonts w:ascii="Arial" w:hAnsi="Arial" w:cs="Arial"/>
          <w:bCs/>
        </w:rPr>
        <w:t>A party may request a hearing with the other party and the Arbitrator</w:t>
      </w:r>
      <w:r w:rsidRPr="00532CC5">
        <w:rPr>
          <w:rFonts w:ascii="Arial" w:hAnsi="Arial" w:cs="Arial"/>
        </w:rPr>
        <w:t xml:space="preserve">. The Arbitrator has discretion to agree to a request for a hearing and to give directions and set conditions as to how evidence </w:t>
      </w:r>
      <w:r w:rsidR="00AF552F" w:rsidRPr="00532CC5">
        <w:rPr>
          <w:rFonts w:ascii="Arial" w:hAnsi="Arial" w:cs="Arial"/>
        </w:rPr>
        <w:t xml:space="preserve">or information </w:t>
      </w:r>
      <w:r w:rsidRPr="00532CC5">
        <w:rPr>
          <w:rFonts w:ascii="Arial" w:hAnsi="Arial" w:cs="Arial"/>
        </w:rPr>
        <w:t>is to be received</w:t>
      </w:r>
      <w:r w:rsidR="00CC2508" w:rsidRPr="00532CC5">
        <w:rPr>
          <w:rFonts w:ascii="Arial" w:hAnsi="Arial" w:cs="Arial"/>
        </w:rPr>
        <w:t>.</w:t>
      </w:r>
      <w:r w:rsidR="00FF6EF0" w:rsidRPr="00532CC5">
        <w:rPr>
          <w:rFonts w:ascii="Arial" w:hAnsi="Arial" w:cs="Arial"/>
        </w:rPr>
        <w:t xml:space="preserve"> The </w:t>
      </w:r>
      <w:r w:rsidR="00E51243" w:rsidRPr="00532CC5">
        <w:rPr>
          <w:rFonts w:ascii="Arial" w:hAnsi="Arial" w:cs="Arial"/>
        </w:rPr>
        <w:t xml:space="preserve">Arbitrator </w:t>
      </w:r>
      <w:r w:rsidR="002E078B" w:rsidRPr="00532CC5">
        <w:rPr>
          <w:rFonts w:ascii="Arial" w:hAnsi="Arial" w:cs="Arial"/>
        </w:rPr>
        <w:t>has discretion</w:t>
      </w:r>
      <w:r w:rsidR="005E51EA" w:rsidRPr="00532CC5">
        <w:rPr>
          <w:rFonts w:ascii="Arial" w:hAnsi="Arial" w:cs="Arial"/>
        </w:rPr>
        <w:t xml:space="preserve"> </w:t>
      </w:r>
      <w:r w:rsidR="000C00F9" w:rsidRPr="00532CC5">
        <w:rPr>
          <w:rFonts w:ascii="Arial" w:hAnsi="Arial" w:cs="Arial"/>
        </w:rPr>
        <w:t xml:space="preserve">to </w:t>
      </w:r>
      <w:r w:rsidRPr="00532CC5">
        <w:rPr>
          <w:rFonts w:ascii="Arial" w:hAnsi="Arial" w:cs="Arial"/>
        </w:rPr>
        <w:t>requir</w:t>
      </w:r>
      <w:r w:rsidR="000C00F9" w:rsidRPr="00532CC5">
        <w:rPr>
          <w:rFonts w:ascii="Arial" w:hAnsi="Arial" w:cs="Arial"/>
        </w:rPr>
        <w:t>e</w:t>
      </w:r>
      <w:r w:rsidRPr="00532CC5">
        <w:rPr>
          <w:rFonts w:ascii="Arial" w:hAnsi="Arial" w:cs="Arial"/>
        </w:rPr>
        <w:t xml:space="preserve"> or disallow parties or witnesses to attend to answer questions asked by the Arbitrator</w:t>
      </w:r>
      <w:r w:rsidR="000C00F9" w:rsidRPr="00532CC5">
        <w:rPr>
          <w:rFonts w:ascii="Arial" w:hAnsi="Arial" w:cs="Arial"/>
        </w:rPr>
        <w:t xml:space="preserve"> and p</w:t>
      </w:r>
      <w:r w:rsidRPr="00532CC5">
        <w:rPr>
          <w:rFonts w:ascii="Arial" w:hAnsi="Arial" w:cs="Arial"/>
        </w:rPr>
        <w:t xml:space="preserve">rovide evidence under </w:t>
      </w:r>
      <w:r w:rsidR="00734568" w:rsidRPr="00532CC5">
        <w:rPr>
          <w:rFonts w:ascii="Arial" w:hAnsi="Arial" w:cs="Arial"/>
        </w:rPr>
        <w:t>o</w:t>
      </w:r>
      <w:r w:rsidRPr="00532CC5">
        <w:rPr>
          <w:rFonts w:ascii="Arial" w:hAnsi="Arial" w:cs="Arial"/>
        </w:rPr>
        <w:t>ath or</w:t>
      </w:r>
      <w:r w:rsidR="00734568" w:rsidRPr="00532CC5">
        <w:rPr>
          <w:rFonts w:ascii="Arial" w:hAnsi="Arial" w:cs="Arial"/>
        </w:rPr>
        <w:t xml:space="preserve"> affirmation</w:t>
      </w:r>
      <w:r w:rsidRPr="00532CC5">
        <w:rPr>
          <w:rFonts w:ascii="Arial" w:hAnsi="Arial" w:cs="Arial"/>
        </w:rPr>
        <w:t>. The rules of evidence will not apply to the Arbitration and cross-examination of witnesses is not permitted</w:t>
      </w:r>
      <w:r w:rsidR="0088034A" w:rsidRPr="00532CC5">
        <w:rPr>
          <w:rFonts w:ascii="Arial" w:hAnsi="Arial" w:cs="Arial"/>
        </w:rPr>
        <w:t>, unl</w:t>
      </w:r>
      <w:r w:rsidR="00EE039B" w:rsidRPr="00532CC5">
        <w:rPr>
          <w:rFonts w:ascii="Arial" w:hAnsi="Arial" w:cs="Arial"/>
        </w:rPr>
        <w:t>ess the Arbitrator consider</w:t>
      </w:r>
      <w:r w:rsidR="001C6510" w:rsidRPr="00532CC5">
        <w:rPr>
          <w:rFonts w:ascii="Arial" w:hAnsi="Arial" w:cs="Arial"/>
        </w:rPr>
        <w:t xml:space="preserve">s </w:t>
      </w:r>
      <w:r w:rsidR="00EE039B" w:rsidRPr="00532CC5">
        <w:rPr>
          <w:rFonts w:ascii="Arial" w:hAnsi="Arial" w:cs="Arial"/>
        </w:rPr>
        <w:t>it</w:t>
      </w:r>
      <w:r w:rsidR="0088034A" w:rsidRPr="00532CC5">
        <w:rPr>
          <w:rFonts w:ascii="Arial" w:hAnsi="Arial" w:cs="Arial"/>
        </w:rPr>
        <w:t xml:space="preserve"> necessary to give the parties natural justice</w:t>
      </w:r>
      <w:r w:rsidR="00C95836" w:rsidRPr="00532CC5">
        <w:rPr>
          <w:rFonts w:ascii="Arial" w:hAnsi="Arial" w:cs="Arial"/>
        </w:rPr>
        <w:t>.</w:t>
      </w:r>
      <w:r w:rsidRPr="00532CC5">
        <w:rPr>
          <w:rFonts w:ascii="Arial" w:hAnsi="Arial" w:cs="Arial"/>
        </w:rPr>
        <w:t xml:space="preserve"> </w:t>
      </w:r>
    </w:p>
    <w:p w14:paraId="3486F8D5" w14:textId="60B8DE52" w:rsidR="004A4249" w:rsidRPr="00532CC5" w:rsidRDefault="007039B6" w:rsidP="002650DD">
      <w:pPr>
        <w:pStyle w:val="LDStandard2"/>
        <w:spacing w:before="240" w:after="120" w:line="264" w:lineRule="auto"/>
        <w:rPr>
          <w:rFonts w:ascii="Arial" w:hAnsi="Arial" w:cs="Arial"/>
          <w:bCs/>
        </w:rPr>
      </w:pPr>
      <w:r w:rsidRPr="00532CC5">
        <w:rPr>
          <w:rFonts w:ascii="Arial" w:hAnsi="Arial" w:cs="Arial"/>
          <w:b/>
        </w:rPr>
        <w:t>Representation</w:t>
      </w:r>
    </w:p>
    <w:p w14:paraId="42DF5438" w14:textId="44F8DD17" w:rsidR="007C504F" w:rsidRPr="00532CC5" w:rsidRDefault="007C504F" w:rsidP="00532CC5">
      <w:pPr>
        <w:pStyle w:val="LDStandard3"/>
        <w:tabs>
          <w:tab w:val="clear" w:pos="1701"/>
          <w:tab w:val="num" w:pos="851"/>
        </w:tabs>
        <w:spacing w:before="120" w:after="120" w:line="264" w:lineRule="auto"/>
        <w:ind w:left="851" w:hanging="851"/>
        <w:rPr>
          <w:rFonts w:ascii="Arial" w:hAnsi="Arial" w:cs="Arial"/>
          <w:b/>
        </w:rPr>
      </w:pPr>
      <w:r w:rsidRPr="00532CC5">
        <w:rPr>
          <w:rFonts w:ascii="Arial" w:hAnsi="Arial" w:cs="Arial"/>
        </w:rPr>
        <w:t xml:space="preserve">The parties may be represented throughout the Arbitration </w:t>
      </w:r>
      <w:r w:rsidR="0077247C" w:rsidRPr="00532CC5">
        <w:rPr>
          <w:rFonts w:ascii="Arial" w:hAnsi="Arial" w:cs="Arial"/>
        </w:rPr>
        <w:t xml:space="preserve">including any hearing </w:t>
      </w:r>
      <w:r w:rsidRPr="00532CC5">
        <w:rPr>
          <w:rFonts w:ascii="Arial" w:hAnsi="Arial" w:cs="Arial"/>
        </w:rPr>
        <w:t>by</w:t>
      </w:r>
      <w:r w:rsidR="003E6E62" w:rsidRPr="00532CC5">
        <w:rPr>
          <w:rFonts w:ascii="Arial" w:hAnsi="Arial" w:cs="Arial"/>
        </w:rPr>
        <w:t xml:space="preserve"> </w:t>
      </w:r>
      <w:r w:rsidR="00D706A4" w:rsidRPr="00532CC5">
        <w:rPr>
          <w:rFonts w:ascii="Arial" w:hAnsi="Arial" w:cs="Arial"/>
        </w:rPr>
        <w:t>one of more of the following</w:t>
      </w:r>
      <w:r w:rsidRPr="00532CC5">
        <w:rPr>
          <w:rFonts w:ascii="Arial" w:hAnsi="Arial" w:cs="Arial"/>
        </w:rPr>
        <w:t>:</w:t>
      </w:r>
    </w:p>
    <w:p w14:paraId="0CAEC1E3" w14:textId="1E6F4C84" w:rsidR="007C504F" w:rsidRPr="00532CC5" w:rsidRDefault="007C504F"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 xml:space="preserve">an Australian legal practitioner; </w:t>
      </w:r>
    </w:p>
    <w:p w14:paraId="2750D744" w14:textId="0C882A30" w:rsidR="007C504F" w:rsidRPr="00532CC5" w:rsidRDefault="007C504F"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 xml:space="preserve">in the case of a party that is a contractor (within the meaning of that term under the Act) - an association, including a trade union, that represents contractors or a class of </w:t>
      </w:r>
      <w:r w:rsidR="00E80353" w:rsidRPr="00532CC5">
        <w:rPr>
          <w:rFonts w:ascii="Arial" w:hAnsi="Arial" w:cs="Arial"/>
        </w:rPr>
        <w:t xml:space="preserve">contractors; </w:t>
      </w:r>
    </w:p>
    <w:p w14:paraId="635F0F36" w14:textId="5D53208A" w:rsidR="007C504F" w:rsidRPr="00532CC5" w:rsidRDefault="007C504F"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 xml:space="preserve">in the case of a party that is a hirer (within the meaning of that term under the Act) - an association that represents hirers or a class of hirers; </w:t>
      </w:r>
      <w:r w:rsidR="003F7738" w:rsidRPr="00532CC5">
        <w:rPr>
          <w:rFonts w:ascii="Arial" w:hAnsi="Arial" w:cs="Arial"/>
        </w:rPr>
        <w:t>and</w:t>
      </w:r>
    </w:p>
    <w:p w14:paraId="30B626D1" w14:textId="77777777" w:rsidR="00426DA0" w:rsidRPr="00532CC5" w:rsidRDefault="007C504F" w:rsidP="00532CC5">
      <w:pPr>
        <w:pStyle w:val="LDStandard4"/>
        <w:tabs>
          <w:tab w:val="clear" w:pos="2552"/>
          <w:tab w:val="num" w:pos="1418"/>
        </w:tabs>
        <w:spacing w:before="120" w:after="120" w:line="264" w:lineRule="auto"/>
        <w:ind w:left="1418" w:hanging="567"/>
        <w:rPr>
          <w:rFonts w:ascii="Arial" w:hAnsi="Arial" w:cs="Arial"/>
        </w:rPr>
      </w:pPr>
      <w:r w:rsidRPr="00532CC5">
        <w:rPr>
          <w:rFonts w:ascii="Arial" w:hAnsi="Arial" w:cs="Arial"/>
        </w:rPr>
        <w:t xml:space="preserve">any other person considered appropriate by the Arbitrator. </w:t>
      </w:r>
    </w:p>
    <w:p w14:paraId="0E3A181A" w14:textId="45F027C3" w:rsidR="00426DA0" w:rsidRPr="00532CC5" w:rsidRDefault="001C6510" w:rsidP="00B9742F">
      <w:pPr>
        <w:pStyle w:val="LDStandard3"/>
        <w:spacing w:before="120" w:after="120" w:line="264" w:lineRule="auto"/>
        <w:ind w:left="851"/>
        <w:rPr>
          <w:rFonts w:ascii="Arial" w:hAnsi="Arial" w:cs="Arial"/>
        </w:rPr>
      </w:pPr>
      <w:r w:rsidRPr="00532CC5">
        <w:rPr>
          <w:rFonts w:ascii="Arial" w:hAnsi="Arial" w:cs="Arial"/>
        </w:rPr>
        <w:t xml:space="preserve">A </w:t>
      </w:r>
      <w:r w:rsidR="00426DA0" w:rsidRPr="00532CC5">
        <w:rPr>
          <w:rFonts w:ascii="Arial" w:hAnsi="Arial" w:cs="Arial"/>
        </w:rPr>
        <w:t>party may be accompanied by a support person at any hearing conducted as part of the Arbitration.</w:t>
      </w:r>
    </w:p>
    <w:p w14:paraId="079E292F" w14:textId="672CE13B" w:rsidR="005D2215" w:rsidRPr="00532CC5" w:rsidRDefault="009F6D05" w:rsidP="00532CC5">
      <w:pPr>
        <w:pStyle w:val="LDStandard2"/>
        <w:keepNext/>
        <w:keepLines/>
        <w:spacing w:before="120" w:after="120" w:line="264" w:lineRule="auto"/>
        <w:rPr>
          <w:rFonts w:ascii="Arial" w:hAnsi="Arial" w:cs="Arial"/>
          <w:b/>
          <w:bCs/>
        </w:rPr>
      </w:pPr>
      <w:r w:rsidRPr="00532CC5">
        <w:rPr>
          <w:rFonts w:ascii="Arial" w:hAnsi="Arial" w:cs="Arial"/>
          <w:b/>
          <w:bCs/>
        </w:rPr>
        <w:lastRenderedPageBreak/>
        <w:t>Refusal to participate or undue delay</w:t>
      </w:r>
    </w:p>
    <w:p w14:paraId="4C955059" w14:textId="20149131" w:rsidR="009F6D05" w:rsidRPr="00532CC5" w:rsidRDefault="00426DA0" w:rsidP="00532CC5">
      <w:pPr>
        <w:pStyle w:val="LDStandard3"/>
        <w:keepNext/>
        <w:keepLines/>
        <w:tabs>
          <w:tab w:val="clear" w:pos="1701"/>
          <w:tab w:val="num" w:pos="851"/>
        </w:tabs>
        <w:spacing w:before="120" w:after="120" w:line="264" w:lineRule="auto"/>
        <w:ind w:left="851" w:hanging="851"/>
        <w:rPr>
          <w:rFonts w:ascii="Arial" w:hAnsi="Arial" w:cs="Arial"/>
          <w:bCs/>
        </w:rPr>
      </w:pPr>
      <w:r w:rsidRPr="00532CC5">
        <w:rPr>
          <w:rFonts w:ascii="Arial" w:hAnsi="Arial" w:cs="Arial"/>
        </w:rPr>
        <w:t>Without limiting the VSBC's powers under s 40 of the Act, i</w:t>
      </w:r>
      <w:r w:rsidR="005D2215" w:rsidRPr="00532CC5">
        <w:rPr>
          <w:rFonts w:ascii="Arial" w:hAnsi="Arial" w:cs="Arial"/>
        </w:rPr>
        <w:t xml:space="preserve">f either party has not met the timeframes for the provision of information or does not co-operate or act in good faith during the Arbitration, the Arbitrator may terminate the </w:t>
      </w:r>
      <w:r w:rsidR="007B2875" w:rsidRPr="00532CC5">
        <w:rPr>
          <w:rFonts w:ascii="Arial" w:hAnsi="Arial" w:cs="Arial"/>
        </w:rPr>
        <w:t>Arbitration</w:t>
      </w:r>
      <w:r w:rsidR="005D2215" w:rsidRPr="00532CC5">
        <w:rPr>
          <w:rFonts w:ascii="Arial" w:hAnsi="Arial" w:cs="Arial"/>
        </w:rPr>
        <w:t xml:space="preserve"> by giving written notice to the Parties and advising the VSBC. </w:t>
      </w:r>
    </w:p>
    <w:p w14:paraId="67A43C9E" w14:textId="44B22029" w:rsidR="00203ACC" w:rsidRPr="00532CC5" w:rsidRDefault="0044087F" w:rsidP="00532CC5">
      <w:pPr>
        <w:pStyle w:val="LDStandard3"/>
        <w:tabs>
          <w:tab w:val="clear" w:pos="1701"/>
          <w:tab w:val="num" w:pos="851"/>
        </w:tabs>
        <w:spacing w:before="120" w:after="120" w:line="264" w:lineRule="auto"/>
        <w:ind w:left="851" w:hanging="851"/>
        <w:rPr>
          <w:rFonts w:ascii="Arial" w:hAnsi="Arial" w:cs="Arial"/>
          <w:bCs/>
        </w:rPr>
      </w:pPr>
      <w:r w:rsidRPr="00532CC5">
        <w:rPr>
          <w:rFonts w:ascii="Arial" w:hAnsi="Arial" w:cs="Arial"/>
        </w:rPr>
        <w:t>T</w:t>
      </w:r>
      <w:r w:rsidR="00203ACC" w:rsidRPr="00532CC5">
        <w:rPr>
          <w:rFonts w:ascii="Arial" w:hAnsi="Arial" w:cs="Arial"/>
        </w:rPr>
        <w:t>he VSBC may issue a certificate under s 40 of the Act if the Arbitration does not proceed, including where the Arbitrator has terminated the Arbitration in accordance with Rule 8.</w:t>
      </w:r>
      <w:r w:rsidR="007B2875" w:rsidRPr="00532CC5">
        <w:rPr>
          <w:rFonts w:ascii="Arial" w:hAnsi="Arial" w:cs="Arial"/>
        </w:rPr>
        <w:t>1</w:t>
      </w:r>
      <w:r w:rsidR="00203ACC" w:rsidRPr="00532CC5">
        <w:rPr>
          <w:rFonts w:ascii="Arial" w:hAnsi="Arial" w:cs="Arial"/>
        </w:rPr>
        <w:t xml:space="preserve">. The </w:t>
      </w:r>
      <w:r w:rsidR="00603F2E" w:rsidRPr="00532CC5">
        <w:rPr>
          <w:rFonts w:ascii="Arial" w:hAnsi="Arial" w:cs="Arial"/>
        </w:rPr>
        <w:t>VSBC</w:t>
      </w:r>
      <w:r w:rsidR="00203ACC" w:rsidRPr="00532CC5">
        <w:rPr>
          <w:rFonts w:ascii="Arial" w:hAnsi="Arial" w:cs="Arial"/>
        </w:rPr>
        <w:t xml:space="preserve"> may request, and have regard to, a report from the Arbitrator in determining whether to issue a certificate</w:t>
      </w:r>
      <w:r w:rsidR="007B2875" w:rsidRPr="00532CC5">
        <w:rPr>
          <w:rFonts w:ascii="Arial" w:hAnsi="Arial" w:cs="Arial"/>
        </w:rPr>
        <w:t>.</w:t>
      </w:r>
    </w:p>
    <w:p w14:paraId="17384951" w14:textId="21989195" w:rsidR="004A2C4D" w:rsidRPr="00532CC5" w:rsidRDefault="00D114C7" w:rsidP="002650DD">
      <w:pPr>
        <w:pStyle w:val="LDStandard2"/>
        <w:spacing w:before="240" w:after="120" w:line="264" w:lineRule="auto"/>
        <w:rPr>
          <w:rFonts w:ascii="Arial" w:hAnsi="Arial" w:cs="Arial"/>
          <w:b/>
        </w:rPr>
      </w:pPr>
      <w:r w:rsidRPr="00532CC5">
        <w:rPr>
          <w:rFonts w:ascii="Arial" w:hAnsi="Arial" w:cs="Arial"/>
          <w:b/>
        </w:rPr>
        <w:t>Decision</w:t>
      </w:r>
    </w:p>
    <w:p w14:paraId="53D76C0B" w14:textId="6BBA9DAC" w:rsidR="00FB7FBC" w:rsidRPr="00532CC5" w:rsidRDefault="00D114C7" w:rsidP="00532CC5">
      <w:pPr>
        <w:pStyle w:val="LDStandard3"/>
        <w:spacing w:before="120" w:after="120" w:line="264" w:lineRule="auto"/>
        <w:rPr>
          <w:rFonts w:ascii="Arial" w:hAnsi="Arial" w:cs="Arial"/>
        </w:rPr>
      </w:pPr>
      <w:r w:rsidRPr="00532CC5">
        <w:rPr>
          <w:rFonts w:ascii="Arial" w:hAnsi="Arial" w:cs="Arial"/>
        </w:rPr>
        <w:t xml:space="preserve">The Arbitrator will </w:t>
      </w:r>
      <w:r w:rsidR="003F412B" w:rsidRPr="00532CC5">
        <w:rPr>
          <w:rFonts w:ascii="Arial" w:hAnsi="Arial" w:cs="Arial"/>
        </w:rPr>
        <w:t xml:space="preserve">determine the dispute </w:t>
      </w:r>
      <w:r w:rsidR="007B7F26" w:rsidRPr="00532CC5">
        <w:rPr>
          <w:rFonts w:ascii="Arial" w:hAnsi="Arial" w:cs="Arial"/>
        </w:rPr>
        <w:t xml:space="preserve">and provide </w:t>
      </w:r>
      <w:r w:rsidR="00370BE1" w:rsidRPr="00532CC5">
        <w:rPr>
          <w:rFonts w:ascii="Arial" w:hAnsi="Arial" w:cs="Arial"/>
        </w:rPr>
        <w:t xml:space="preserve">the </w:t>
      </w:r>
      <w:r w:rsidR="00647F64" w:rsidRPr="00532CC5">
        <w:rPr>
          <w:rFonts w:ascii="Arial" w:hAnsi="Arial" w:cs="Arial"/>
        </w:rPr>
        <w:t xml:space="preserve">decision (the </w:t>
      </w:r>
      <w:r w:rsidR="00370BE1" w:rsidRPr="00532CC5">
        <w:rPr>
          <w:rFonts w:ascii="Arial" w:hAnsi="Arial" w:cs="Arial"/>
        </w:rPr>
        <w:t>Award</w:t>
      </w:r>
      <w:r w:rsidR="00647F64" w:rsidRPr="00532CC5">
        <w:rPr>
          <w:rFonts w:ascii="Arial" w:hAnsi="Arial" w:cs="Arial"/>
        </w:rPr>
        <w:t>)</w:t>
      </w:r>
      <w:r w:rsidR="00FB7FBC" w:rsidRPr="00532CC5">
        <w:rPr>
          <w:rFonts w:ascii="Arial" w:hAnsi="Arial" w:cs="Arial"/>
        </w:rPr>
        <w:t>,</w:t>
      </w:r>
      <w:r w:rsidR="00426DA0" w:rsidRPr="00532CC5">
        <w:rPr>
          <w:rFonts w:ascii="Arial" w:hAnsi="Arial" w:cs="Arial"/>
        </w:rPr>
        <w:t xml:space="preserve"> </w:t>
      </w:r>
      <w:r w:rsidR="00105D8A" w:rsidRPr="00532CC5">
        <w:rPr>
          <w:rFonts w:ascii="Arial" w:hAnsi="Arial" w:cs="Arial"/>
        </w:rPr>
        <w:t>including reasons for the Award</w:t>
      </w:r>
      <w:r w:rsidR="00FB7FBC" w:rsidRPr="00532CC5">
        <w:rPr>
          <w:rFonts w:ascii="Arial" w:hAnsi="Arial" w:cs="Arial"/>
        </w:rPr>
        <w:t xml:space="preserve">, </w:t>
      </w:r>
      <w:r w:rsidR="00980F36" w:rsidRPr="00532CC5">
        <w:rPr>
          <w:rFonts w:ascii="Arial" w:hAnsi="Arial" w:cs="Arial"/>
        </w:rPr>
        <w:t>in writing</w:t>
      </w:r>
      <w:r w:rsidR="00105D8A" w:rsidRPr="00532CC5">
        <w:rPr>
          <w:rFonts w:ascii="Arial" w:hAnsi="Arial" w:cs="Arial"/>
        </w:rPr>
        <w:t xml:space="preserve"> to the parties </w:t>
      </w:r>
      <w:r w:rsidR="001D33E5" w:rsidRPr="00532CC5">
        <w:rPr>
          <w:rFonts w:ascii="Arial" w:hAnsi="Arial" w:cs="Arial"/>
        </w:rPr>
        <w:t xml:space="preserve">and VSBC </w:t>
      </w:r>
      <w:r w:rsidR="00105D8A" w:rsidRPr="00532CC5">
        <w:rPr>
          <w:rFonts w:ascii="Arial" w:hAnsi="Arial" w:cs="Arial"/>
        </w:rPr>
        <w:t xml:space="preserve">within 20 business days of receiving all </w:t>
      </w:r>
      <w:r w:rsidR="00874857" w:rsidRPr="00532CC5">
        <w:rPr>
          <w:rFonts w:ascii="Arial" w:hAnsi="Arial" w:cs="Arial"/>
        </w:rPr>
        <w:t xml:space="preserve">facts, </w:t>
      </w:r>
      <w:r w:rsidR="00105D8A" w:rsidRPr="00532CC5">
        <w:rPr>
          <w:rFonts w:ascii="Arial" w:hAnsi="Arial" w:cs="Arial"/>
        </w:rPr>
        <w:t xml:space="preserve">submissions, documents, information or evidence </w:t>
      </w:r>
      <w:r w:rsidR="00B368DB" w:rsidRPr="00532CC5">
        <w:rPr>
          <w:rFonts w:ascii="Arial" w:hAnsi="Arial" w:cs="Arial"/>
        </w:rPr>
        <w:t xml:space="preserve">provided by </w:t>
      </w:r>
      <w:r w:rsidR="00105D8A" w:rsidRPr="00532CC5">
        <w:rPr>
          <w:rFonts w:ascii="Arial" w:hAnsi="Arial" w:cs="Arial"/>
        </w:rPr>
        <w:t>the parties or conducting a hearing</w:t>
      </w:r>
      <w:r w:rsidR="00A76023" w:rsidRPr="00532CC5">
        <w:rPr>
          <w:rFonts w:ascii="Arial" w:hAnsi="Arial" w:cs="Arial"/>
        </w:rPr>
        <w:t>, whichever occurs last</w:t>
      </w:r>
      <w:r w:rsidRPr="00532CC5">
        <w:rPr>
          <w:rFonts w:ascii="Arial" w:hAnsi="Arial" w:cs="Arial"/>
        </w:rPr>
        <w:t>.</w:t>
      </w:r>
      <w:r w:rsidR="00FB7FBC" w:rsidRPr="00532CC5">
        <w:rPr>
          <w:rFonts w:ascii="Arial" w:hAnsi="Arial" w:cs="Arial"/>
        </w:rPr>
        <w:t xml:space="preserve"> </w:t>
      </w:r>
      <w:r w:rsidR="00426DA0" w:rsidRPr="00532CC5">
        <w:rPr>
          <w:rFonts w:ascii="Arial" w:hAnsi="Arial" w:cs="Arial"/>
        </w:rPr>
        <w:t>Subject to the approval of the VSBC, t</w:t>
      </w:r>
      <w:r w:rsidR="00E66705" w:rsidRPr="00532CC5">
        <w:rPr>
          <w:rFonts w:ascii="Arial" w:hAnsi="Arial" w:cs="Arial"/>
        </w:rPr>
        <w:t xml:space="preserve">he </w:t>
      </w:r>
      <w:r w:rsidR="008040EF" w:rsidRPr="00532CC5">
        <w:rPr>
          <w:rFonts w:ascii="Arial" w:hAnsi="Arial" w:cs="Arial"/>
        </w:rPr>
        <w:t>Arbitrator</w:t>
      </w:r>
      <w:r w:rsidR="00E66705" w:rsidRPr="00532CC5">
        <w:rPr>
          <w:rFonts w:ascii="Arial" w:hAnsi="Arial" w:cs="Arial"/>
        </w:rPr>
        <w:t xml:space="preserve"> </w:t>
      </w:r>
      <w:r w:rsidR="00426DA0" w:rsidRPr="00532CC5">
        <w:rPr>
          <w:rFonts w:ascii="Arial" w:hAnsi="Arial" w:cs="Arial"/>
        </w:rPr>
        <w:t>may extend the</w:t>
      </w:r>
      <w:r w:rsidR="008040EF" w:rsidRPr="00532CC5">
        <w:rPr>
          <w:rFonts w:ascii="Arial" w:hAnsi="Arial" w:cs="Arial"/>
        </w:rPr>
        <w:t xml:space="preserve"> time </w:t>
      </w:r>
      <w:r w:rsidR="00426DA0" w:rsidRPr="00532CC5">
        <w:rPr>
          <w:rFonts w:ascii="Arial" w:hAnsi="Arial" w:cs="Arial"/>
        </w:rPr>
        <w:t>allowed</w:t>
      </w:r>
      <w:r w:rsidR="00FB7FBC" w:rsidRPr="00532CC5">
        <w:rPr>
          <w:rFonts w:ascii="Arial" w:hAnsi="Arial" w:cs="Arial"/>
        </w:rPr>
        <w:t xml:space="preserve"> for the making of the Award</w:t>
      </w:r>
      <w:r w:rsidR="00FA4084" w:rsidRPr="00532CC5">
        <w:rPr>
          <w:rFonts w:ascii="Arial" w:hAnsi="Arial" w:cs="Arial"/>
        </w:rPr>
        <w:t>.</w:t>
      </w:r>
    </w:p>
    <w:p w14:paraId="3E24A34D" w14:textId="2C7B9BC6" w:rsidR="00D114C7" w:rsidRPr="00532CC5" w:rsidRDefault="00D114C7" w:rsidP="002650DD">
      <w:pPr>
        <w:pStyle w:val="LDStandard2"/>
        <w:spacing w:before="240" w:after="120" w:line="264" w:lineRule="auto"/>
        <w:rPr>
          <w:rFonts w:ascii="Arial" w:hAnsi="Arial" w:cs="Arial"/>
          <w:b/>
        </w:rPr>
      </w:pPr>
      <w:r w:rsidRPr="00532CC5">
        <w:rPr>
          <w:rFonts w:ascii="Arial" w:hAnsi="Arial" w:cs="Arial"/>
          <w:b/>
        </w:rPr>
        <w:t>Cost of Arbitration</w:t>
      </w:r>
    </w:p>
    <w:p w14:paraId="07841BD7" w14:textId="78103B9E" w:rsidR="00D114C7" w:rsidRPr="00532CC5" w:rsidRDefault="00D114C7" w:rsidP="00532CC5">
      <w:pPr>
        <w:pStyle w:val="LDStandard3"/>
        <w:spacing w:before="120" w:after="120" w:line="264" w:lineRule="auto"/>
        <w:rPr>
          <w:rFonts w:ascii="Arial" w:hAnsi="Arial" w:cs="Arial"/>
        </w:rPr>
      </w:pPr>
      <w:r w:rsidRPr="00532CC5">
        <w:rPr>
          <w:rFonts w:ascii="Arial" w:hAnsi="Arial" w:cs="Arial"/>
        </w:rPr>
        <w:t>The parties will pay $295 each</w:t>
      </w:r>
      <w:r w:rsidR="00426DA0" w:rsidRPr="00532CC5">
        <w:rPr>
          <w:rFonts w:ascii="Arial" w:hAnsi="Arial" w:cs="Arial"/>
        </w:rPr>
        <w:t xml:space="preserve"> for the Arbitration</w:t>
      </w:r>
      <w:r w:rsidRPr="00532CC5">
        <w:rPr>
          <w:rFonts w:ascii="Arial" w:hAnsi="Arial" w:cs="Arial"/>
        </w:rPr>
        <w:t xml:space="preserve">.  </w:t>
      </w:r>
    </w:p>
    <w:p w14:paraId="1F619183" w14:textId="1F8E4174" w:rsidR="00370BE1" w:rsidRPr="00532CC5" w:rsidRDefault="00370BE1" w:rsidP="00532CC5">
      <w:pPr>
        <w:pStyle w:val="LDStandard3"/>
        <w:numPr>
          <w:ilvl w:val="0"/>
          <w:numId w:val="0"/>
        </w:numPr>
        <w:spacing w:before="120" w:after="120" w:line="264" w:lineRule="auto"/>
        <w:ind w:left="851"/>
        <w:rPr>
          <w:rFonts w:ascii="Arial" w:hAnsi="Arial" w:cs="Arial"/>
          <w:bCs/>
        </w:rPr>
      </w:pPr>
    </w:p>
    <w:p w14:paraId="7D180369" w14:textId="77777777" w:rsidR="00370BE1" w:rsidRPr="00532CC5" w:rsidRDefault="00370BE1" w:rsidP="00532CC5">
      <w:pPr>
        <w:pStyle w:val="LDStandard3"/>
        <w:numPr>
          <w:ilvl w:val="0"/>
          <w:numId w:val="0"/>
        </w:numPr>
        <w:spacing w:before="120" w:after="120" w:line="264" w:lineRule="auto"/>
        <w:ind w:left="1700"/>
        <w:rPr>
          <w:rFonts w:ascii="Arial" w:hAnsi="Arial" w:cs="Arial"/>
          <w:bCs/>
        </w:rPr>
      </w:pPr>
    </w:p>
    <w:p w14:paraId="1D47D586" w14:textId="77777777" w:rsidR="00D114C7" w:rsidRPr="00532CC5" w:rsidRDefault="00D114C7" w:rsidP="00532CC5">
      <w:pPr>
        <w:pStyle w:val="ListParagraph"/>
        <w:spacing w:before="120" w:after="120" w:line="264" w:lineRule="auto"/>
        <w:ind w:left="0"/>
        <w:contextualSpacing w:val="0"/>
        <w:rPr>
          <w:rFonts w:ascii="Arial" w:hAnsi="Arial" w:cs="Arial"/>
        </w:rPr>
      </w:pPr>
    </w:p>
    <w:p w14:paraId="67D72B40" w14:textId="051F28C9" w:rsidR="00D114C7" w:rsidRPr="00532CC5" w:rsidRDefault="00D114C7" w:rsidP="00532CC5">
      <w:pPr>
        <w:spacing w:before="120" w:after="120" w:line="264" w:lineRule="auto"/>
        <w:rPr>
          <w:rFonts w:ascii="Arial" w:hAnsi="Arial" w:cs="Arial"/>
        </w:rPr>
      </w:pPr>
      <w:r w:rsidRPr="00532CC5">
        <w:rPr>
          <w:rFonts w:ascii="Arial" w:hAnsi="Arial" w:cs="Arial"/>
        </w:rPr>
        <w:t xml:space="preserve">Version </w:t>
      </w:r>
      <w:r w:rsidR="004C751A" w:rsidRPr="00532CC5">
        <w:rPr>
          <w:rFonts w:ascii="Arial" w:hAnsi="Arial" w:cs="Arial"/>
        </w:rPr>
        <w:t>1</w:t>
      </w:r>
      <w:r w:rsidR="001C6510" w:rsidRPr="00532CC5">
        <w:rPr>
          <w:rFonts w:ascii="Arial" w:hAnsi="Arial" w:cs="Arial"/>
        </w:rPr>
        <w:t>5</w:t>
      </w:r>
    </w:p>
    <w:p w14:paraId="44A33195" w14:textId="77777777" w:rsidR="00D114C7" w:rsidRPr="00532CC5" w:rsidRDefault="00D114C7" w:rsidP="00532CC5">
      <w:pPr>
        <w:spacing w:before="120" w:after="120" w:line="264" w:lineRule="auto"/>
        <w:rPr>
          <w:rFonts w:ascii="Arial" w:hAnsi="Arial" w:cs="Arial"/>
        </w:rPr>
      </w:pPr>
    </w:p>
    <w:p w14:paraId="1DD90F10" w14:textId="733AAF00" w:rsidR="00E735F3" w:rsidRPr="00532CC5" w:rsidRDefault="001C6510" w:rsidP="00532CC5">
      <w:pPr>
        <w:spacing w:before="120" w:after="120" w:line="264" w:lineRule="auto"/>
        <w:rPr>
          <w:rFonts w:ascii="Arial" w:hAnsi="Arial" w:cs="Arial"/>
        </w:rPr>
      </w:pPr>
      <w:r w:rsidRPr="00532CC5">
        <w:rPr>
          <w:rFonts w:ascii="Arial" w:hAnsi="Arial" w:cs="Arial"/>
        </w:rPr>
        <w:t>21</w:t>
      </w:r>
      <w:r w:rsidR="00F768CF" w:rsidRPr="00532CC5">
        <w:rPr>
          <w:rFonts w:ascii="Arial" w:hAnsi="Arial" w:cs="Arial"/>
        </w:rPr>
        <w:t xml:space="preserve"> April</w:t>
      </w:r>
      <w:r w:rsidR="00CB28B9" w:rsidRPr="00532CC5">
        <w:rPr>
          <w:rFonts w:ascii="Arial" w:hAnsi="Arial" w:cs="Arial"/>
        </w:rPr>
        <w:t xml:space="preserve"> 2020</w:t>
      </w:r>
    </w:p>
    <w:sectPr w:rsidR="00E735F3" w:rsidRPr="00532CC5" w:rsidSect="00FB3341">
      <w:headerReference w:type="default" r:id="rId12"/>
      <w:footerReference w:type="even" r:id="rId13"/>
      <w:footerReference w:type="default" r:id="rId14"/>
      <w:footerReference w:type="first" r:id="rId15"/>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A237D" w14:textId="77777777" w:rsidR="00472D27" w:rsidRDefault="00472D27" w:rsidP="002A5921">
      <w:r>
        <w:separator/>
      </w:r>
    </w:p>
  </w:endnote>
  <w:endnote w:type="continuationSeparator" w:id="0">
    <w:p w14:paraId="0CC2D00C" w14:textId="77777777" w:rsidR="00472D27" w:rsidRDefault="00472D27" w:rsidP="002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FD55" w14:textId="77777777" w:rsidR="00370BE1" w:rsidRPr="00372CA3" w:rsidRDefault="00370BE1" w:rsidP="00501051">
    <w:pPr>
      <w:pStyle w:val="Footer"/>
      <w:spacing w:before="0"/>
    </w:pPr>
  </w:p>
  <w:p w14:paraId="468F5D2D" w14:textId="65ACF84D" w:rsidR="00370BE1" w:rsidRPr="00292830" w:rsidRDefault="00370BE1" w:rsidP="00292830">
    <w:pPr>
      <w:pStyle w:val="Footer"/>
      <w:spacing w:before="0"/>
    </w:pPr>
  </w:p>
  <w:p w14:paraId="3EB685D3" w14:textId="70A4566F" w:rsidR="00D76276" w:rsidRPr="009B68C5" w:rsidRDefault="00D76276" w:rsidP="009B68C5">
    <w:pPr>
      <w:pStyle w:val="Footer"/>
      <w:spacing w:before="0"/>
    </w:pPr>
  </w:p>
  <w:p w14:paraId="6B94E458" w14:textId="0EC8F333" w:rsidR="009412FC" w:rsidRPr="009B68C5" w:rsidRDefault="009412FC" w:rsidP="009B68C5">
    <w:pPr>
      <w:pStyle w:val="Footer"/>
      <w:spacing w:before="0"/>
    </w:pPr>
    <w:r w:rsidRPr="009B68C5">
      <w:t>4997730_2\C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502751"/>
      <w:docPartObj>
        <w:docPartGallery w:val="Page Numbers (Bottom of Page)"/>
        <w:docPartUnique/>
      </w:docPartObj>
    </w:sdtPr>
    <w:sdtEndPr>
      <w:rPr>
        <w:rFonts w:ascii="Arial" w:hAnsi="Arial" w:cs="Arial"/>
        <w:noProof/>
        <w:sz w:val="24"/>
      </w:rPr>
    </w:sdtEndPr>
    <w:sdtContent>
      <w:p w14:paraId="28507465" w14:textId="47C60CBA" w:rsidR="00D713C7" w:rsidRPr="00B51AFC" w:rsidRDefault="00D713C7">
        <w:pPr>
          <w:pStyle w:val="Footer"/>
          <w:jc w:val="center"/>
          <w:rPr>
            <w:rFonts w:ascii="Arial" w:hAnsi="Arial" w:cs="Arial"/>
            <w:sz w:val="24"/>
          </w:rPr>
        </w:pPr>
        <w:r w:rsidRPr="00B51AFC">
          <w:rPr>
            <w:rFonts w:ascii="Arial" w:hAnsi="Arial" w:cs="Arial"/>
            <w:sz w:val="24"/>
          </w:rPr>
          <w:fldChar w:fldCharType="begin"/>
        </w:r>
        <w:r w:rsidRPr="00B51AFC">
          <w:rPr>
            <w:rFonts w:ascii="Arial" w:hAnsi="Arial" w:cs="Arial"/>
            <w:sz w:val="24"/>
          </w:rPr>
          <w:instrText xml:space="preserve"> PAGE   \* MERGEFORMAT </w:instrText>
        </w:r>
        <w:r w:rsidRPr="00B51AFC">
          <w:rPr>
            <w:rFonts w:ascii="Arial" w:hAnsi="Arial" w:cs="Arial"/>
            <w:sz w:val="24"/>
          </w:rPr>
          <w:fldChar w:fldCharType="separate"/>
        </w:r>
        <w:r w:rsidR="00426DA0" w:rsidRPr="00B51AFC">
          <w:rPr>
            <w:rFonts w:ascii="Arial" w:hAnsi="Arial" w:cs="Arial"/>
            <w:noProof/>
            <w:sz w:val="24"/>
          </w:rPr>
          <w:t>4</w:t>
        </w:r>
        <w:r w:rsidRPr="00B51AFC">
          <w:rPr>
            <w:rFonts w:ascii="Arial" w:hAnsi="Arial" w:cs="Arial"/>
            <w:noProof/>
            <w:sz w:val="24"/>
          </w:rPr>
          <w:fldChar w:fldCharType="end"/>
        </w:r>
      </w:p>
    </w:sdtContent>
  </w:sdt>
  <w:p w14:paraId="31807B8A" w14:textId="679F914D" w:rsidR="00385859" w:rsidRPr="00B51AFC" w:rsidRDefault="00385859" w:rsidP="00292830">
    <w:pPr>
      <w:pStyle w:val="Footer"/>
      <w:spacing w:before="0"/>
      <w:rPr>
        <w:rFonts w:ascii="Arial" w:hAnsi="Arial" w:cs="Arial"/>
      </w:rPr>
    </w:pPr>
  </w:p>
  <w:p w14:paraId="5ECECF4F" w14:textId="0284BB1B" w:rsidR="00D76276" w:rsidRPr="00B51AFC" w:rsidRDefault="00D76276" w:rsidP="009B68C5">
    <w:pPr>
      <w:pStyle w:val="Footer"/>
      <w:spacing w:before="0"/>
      <w:rPr>
        <w:rFonts w:ascii="Arial" w:hAnsi="Arial" w:cs="Arial"/>
      </w:rPr>
    </w:pPr>
  </w:p>
  <w:p w14:paraId="390AB255" w14:textId="24C33899" w:rsidR="009412FC" w:rsidRPr="00B51AFC" w:rsidRDefault="009412FC" w:rsidP="009B68C5">
    <w:pPr>
      <w:pStyle w:val="Footer"/>
      <w:spacing w:before="0"/>
      <w:rPr>
        <w:rFonts w:ascii="Arial" w:hAnsi="Arial" w:cs="Arial"/>
      </w:rPr>
    </w:pPr>
    <w:r w:rsidRPr="00B51AFC">
      <w:rPr>
        <w:rFonts w:ascii="Arial" w:hAnsi="Arial" w:cs="Arial"/>
      </w:rPr>
      <w:t>4997730_2\C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5A28" w14:textId="77777777" w:rsidR="00370BE1" w:rsidRPr="00600CE4" w:rsidRDefault="00370BE1" w:rsidP="00501051">
    <w:pPr>
      <w:pStyle w:val="Footer"/>
      <w:spacing w:before="0"/>
    </w:pPr>
  </w:p>
  <w:p w14:paraId="385C5DB7" w14:textId="4BE7AD5B" w:rsidR="00370BE1" w:rsidRPr="00292830" w:rsidRDefault="00370BE1" w:rsidP="00292830">
    <w:pPr>
      <w:pStyle w:val="Footer"/>
      <w:spacing w:before="0"/>
    </w:pPr>
  </w:p>
  <w:p w14:paraId="71CDF40C" w14:textId="320CD32F" w:rsidR="00D76276" w:rsidRPr="009B68C5" w:rsidRDefault="00D76276" w:rsidP="009B68C5">
    <w:pPr>
      <w:pStyle w:val="Footer"/>
      <w:spacing w:before="0"/>
    </w:pPr>
  </w:p>
  <w:p w14:paraId="310E8E3D" w14:textId="15E5B84B" w:rsidR="009412FC" w:rsidRPr="00B51AFC" w:rsidRDefault="009412FC" w:rsidP="009B68C5">
    <w:pPr>
      <w:pStyle w:val="Footer"/>
      <w:spacing w:before="0"/>
      <w:rPr>
        <w:rFonts w:ascii="Arial" w:hAnsi="Arial" w:cs="Arial"/>
      </w:rPr>
    </w:pPr>
    <w:r w:rsidRPr="00B51AFC">
      <w:rPr>
        <w:rFonts w:ascii="Arial" w:hAnsi="Arial" w:cs="Arial"/>
      </w:rPr>
      <w:t>4997730_2\C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75644" w14:textId="77777777" w:rsidR="00472D27" w:rsidRDefault="00472D27" w:rsidP="002A5921">
      <w:r>
        <w:separator/>
      </w:r>
    </w:p>
  </w:footnote>
  <w:footnote w:type="continuationSeparator" w:id="0">
    <w:p w14:paraId="0ED07F9E" w14:textId="77777777" w:rsidR="00472D27" w:rsidRDefault="00472D27" w:rsidP="002A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EBF9" w14:textId="48ECDAE5" w:rsidR="00370BE1" w:rsidRDefault="00370BE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BDC2180"/>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70DFE"/>
    <w:multiLevelType w:val="multilevel"/>
    <w:tmpl w:val="96244B9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F090B"/>
    <w:multiLevelType w:val="multilevel"/>
    <w:tmpl w:val="5DB2EAEA"/>
    <w:styleLink w:val="VGSOStandardBullets"/>
    <w:lvl w:ilvl="0">
      <w:start w:val="1"/>
      <w:numFmt w:val="bullet"/>
      <w:pStyle w:val="LDStandardBulletedList"/>
      <w:lvlText w:val=""/>
      <w:lvlJc w:val="left"/>
      <w:pPr>
        <w:ind w:left="851" w:hanging="851"/>
      </w:pPr>
      <w:rPr>
        <w:rFonts w:ascii="Symbol" w:hAnsi="Symbol" w:hint="default"/>
        <w:color w:val="auto"/>
      </w:rPr>
    </w:lvl>
    <w:lvl w:ilvl="1">
      <w:start w:val="1"/>
      <w:numFmt w:val="bullet"/>
      <w:pStyle w:val="LDStandardBulletedList1"/>
      <w:lvlText w:val=""/>
      <w:lvlJc w:val="left"/>
      <w:pPr>
        <w:ind w:left="1702" w:hanging="851"/>
      </w:pPr>
      <w:rPr>
        <w:rFonts w:ascii="Symbol" w:hAnsi="Symbol" w:hint="default"/>
        <w:color w:val="auto"/>
      </w:rPr>
    </w:lvl>
    <w:lvl w:ilvl="2">
      <w:start w:val="1"/>
      <w:numFmt w:val="bullet"/>
      <w:pStyle w:val="LDStandardBulletedList2"/>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4" w15:restartNumberingAfterBreak="0">
    <w:nsid w:val="16E57EC8"/>
    <w:multiLevelType w:val="multilevel"/>
    <w:tmpl w:val="43A8FD96"/>
    <w:lvl w:ilvl="0">
      <w:start w:val="1"/>
      <w:numFmt w:val="decimal"/>
      <w:lvlText w:val="%1."/>
      <w:lvlJc w:val="left"/>
      <w:pPr>
        <w:ind w:left="360" w:hanging="360"/>
      </w:pPr>
      <w:rPr>
        <w:rFonts w:hint="default"/>
      </w:rPr>
    </w:lvl>
    <w:lvl w:ilvl="1">
      <w:start w:val="1"/>
      <w:numFmt w:val="decimal"/>
      <w:isLgl/>
      <w:lvlText w:val="%1.%2"/>
      <w:lvlJc w:val="left"/>
      <w:pPr>
        <w:ind w:left="924" w:hanging="56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7317358"/>
    <w:multiLevelType w:val="multilevel"/>
    <w:tmpl w:val="267264DA"/>
    <w:numStyleLink w:val="ListBullets"/>
  </w:abstractNum>
  <w:abstractNum w:abstractNumId="6"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7" w15:restartNumberingAfterBreak="0">
    <w:nsid w:val="1ED2179B"/>
    <w:multiLevelType w:val="multilevel"/>
    <w:tmpl w:val="267264DA"/>
    <w:numStyleLink w:val="ListBullets"/>
  </w:abstractNum>
  <w:abstractNum w:abstractNumId="8" w15:restartNumberingAfterBreak="0">
    <w:nsid w:val="20120870"/>
    <w:multiLevelType w:val="hybridMultilevel"/>
    <w:tmpl w:val="AC2E1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80E6D"/>
    <w:multiLevelType w:val="multilevel"/>
    <w:tmpl w:val="9C4C81AE"/>
    <w:numStyleLink w:val="ListNumbering"/>
  </w:abstractNum>
  <w:abstractNum w:abstractNumId="10" w15:restartNumberingAfterBreak="0">
    <w:nsid w:val="312A5BFA"/>
    <w:multiLevelType w:val="multilevel"/>
    <w:tmpl w:val="9C1A0E42"/>
    <w:lvl w:ilvl="0">
      <w:start w:val="1"/>
      <w:numFmt w:val="decimal"/>
      <w:lvlText w:val="%1."/>
      <w:lvlJc w:val="left"/>
      <w:pPr>
        <w:ind w:left="360" w:hanging="360"/>
      </w:pPr>
      <w:rPr>
        <w:rFonts w:hint="default"/>
      </w:rPr>
    </w:lvl>
    <w:lvl w:ilvl="1">
      <w:start w:val="3"/>
      <w:numFmt w:val="decimal"/>
      <w:isLgl/>
      <w:lvlText w:val="%1.%2"/>
      <w:lvlJc w:val="left"/>
      <w:pPr>
        <w:ind w:left="924" w:hanging="56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48378D"/>
    <w:multiLevelType w:val="multilevel"/>
    <w:tmpl w:val="9C4C81AE"/>
    <w:numStyleLink w:val="ListNumbering"/>
  </w:abstractNum>
  <w:abstractNum w:abstractNumId="12" w15:restartNumberingAfterBreak="0">
    <w:nsid w:val="336307B1"/>
    <w:multiLevelType w:val="multilevel"/>
    <w:tmpl w:val="9C4C81AE"/>
    <w:numStyleLink w:val="ListNumbering"/>
  </w:abstractNum>
  <w:abstractNum w:abstractNumId="13"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4"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832A3D"/>
    <w:multiLevelType w:val="multilevel"/>
    <w:tmpl w:val="EDCEBEC0"/>
    <w:numStyleLink w:val="EnclosureNumbering"/>
  </w:abstractNum>
  <w:abstractNum w:abstractNumId="16" w15:restartNumberingAfterBreak="0">
    <w:nsid w:val="3A8A7263"/>
    <w:multiLevelType w:val="multilevel"/>
    <w:tmpl w:val="5DB2EAEA"/>
    <w:numStyleLink w:val="VGSOStandardBullets"/>
  </w:abstractNum>
  <w:abstractNum w:abstractNumId="17" w15:restartNumberingAfterBreak="0">
    <w:nsid w:val="3E440394"/>
    <w:multiLevelType w:val="hybridMultilevel"/>
    <w:tmpl w:val="E284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40011"/>
    <w:multiLevelType w:val="multilevel"/>
    <w:tmpl w:val="267264DA"/>
    <w:numStyleLink w:val="ListBullets"/>
  </w:abstractNum>
  <w:abstractNum w:abstractNumId="19"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1" w15:restartNumberingAfterBreak="0">
    <w:nsid w:val="5FC84104"/>
    <w:multiLevelType w:val="multilevel"/>
    <w:tmpl w:val="5DB2EAEA"/>
    <w:numStyleLink w:val="VGSOStandardBullets"/>
  </w:abstractNum>
  <w:abstractNum w:abstractNumId="22"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4"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C2E6EB3"/>
    <w:multiLevelType w:val="multilevel"/>
    <w:tmpl w:val="9C4C81AE"/>
    <w:numStyleLink w:val="ListNumbering"/>
  </w:abstractNum>
  <w:abstractNum w:abstractNumId="26" w15:restartNumberingAfterBreak="0">
    <w:nsid w:val="6FD76D54"/>
    <w:multiLevelType w:val="multilevel"/>
    <w:tmpl w:val="9C4C81AE"/>
    <w:numStyleLink w:val="ListNumbering"/>
  </w:abstractNum>
  <w:abstractNum w:abstractNumId="27" w15:restartNumberingAfterBreak="0">
    <w:nsid w:val="74721B5A"/>
    <w:multiLevelType w:val="hybridMultilevel"/>
    <w:tmpl w:val="10B4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0A76A6"/>
    <w:multiLevelType w:val="multilevel"/>
    <w:tmpl w:val="51FC8EEC"/>
    <w:numStyleLink w:val="VGSOStandardHeadingNumbers"/>
  </w:abstractNum>
  <w:num w:numId="1">
    <w:abstractNumId w:val="24"/>
  </w:num>
  <w:num w:numId="2">
    <w:abstractNumId w:val="23"/>
  </w:num>
  <w:num w:numId="3">
    <w:abstractNumId w:val="14"/>
  </w:num>
  <w:num w:numId="4">
    <w:abstractNumId w:val="3"/>
  </w:num>
  <w:num w:numId="5">
    <w:abstractNumId w:val="13"/>
  </w:num>
  <w:num w:numId="6">
    <w:abstractNumId w:val="20"/>
  </w:num>
  <w:num w:numId="7">
    <w:abstractNumId w:val="26"/>
  </w:num>
  <w:num w:numId="8">
    <w:abstractNumId w:val="11"/>
  </w:num>
  <w:num w:numId="9">
    <w:abstractNumId w:val="12"/>
  </w:num>
  <w:num w:numId="10">
    <w:abstractNumId w:val="29"/>
  </w:num>
  <w:num w:numId="11">
    <w:abstractNumId w:val="25"/>
  </w:num>
  <w:num w:numId="12">
    <w:abstractNumId w:val="6"/>
  </w:num>
  <w:num w:numId="13">
    <w:abstractNumId w:val="7"/>
  </w:num>
  <w:num w:numId="14">
    <w:abstractNumId w:val="19"/>
  </w:num>
  <w:num w:numId="15">
    <w:abstractNumId w:val="1"/>
  </w:num>
  <w:num w:numId="16">
    <w:abstractNumId w:val="22"/>
  </w:num>
  <w:num w:numId="17">
    <w:abstractNumId w:val="5"/>
  </w:num>
  <w:num w:numId="18">
    <w:abstractNumId w:val="18"/>
  </w:num>
  <w:num w:numId="19">
    <w:abstractNumId w:val="9"/>
  </w:num>
  <w:num w:numId="20">
    <w:abstractNumId w:val="15"/>
  </w:num>
  <w:num w:numId="21">
    <w:abstractNumId w:val="2"/>
    <w:lvlOverride w:ilvl="1">
      <w:lvl w:ilvl="1">
        <w:start w:val="1"/>
        <w:numFmt w:val="decimal"/>
        <w:pStyle w:val="LDStandard2"/>
        <w:lvlText w:val="%2."/>
        <w:lvlJc w:val="left"/>
        <w:pPr>
          <w:tabs>
            <w:tab w:val="num" w:pos="851"/>
          </w:tabs>
          <w:ind w:left="851" w:hanging="851"/>
        </w:pPr>
        <w:rPr>
          <w:rFonts w:hint="default"/>
          <w:b/>
        </w:rPr>
      </w:lvl>
    </w:lvlOverride>
    <w:lvlOverride w:ilvl="2">
      <w:lvl w:ilvl="2">
        <w:start w:val="1"/>
        <w:numFmt w:val="decimal"/>
        <w:pStyle w:val="LDStandard3"/>
        <w:lvlText w:val="%2.%3"/>
        <w:lvlJc w:val="left"/>
        <w:pPr>
          <w:tabs>
            <w:tab w:val="num" w:pos="1418"/>
          </w:tabs>
          <w:ind w:left="1418" w:hanging="850"/>
        </w:pPr>
        <w:rPr>
          <w:rFonts w:hint="default"/>
          <w:b/>
        </w:rPr>
      </w:lvl>
    </w:lvlOverride>
  </w:num>
  <w:num w:numId="22">
    <w:abstractNumId w:val="16"/>
  </w:num>
  <w:num w:numId="23">
    <w:abstractNumId w:val="21"/>
  </w:num>
  <w:num w:numId="24">
    <w:abstractNumId w:val="28"/>
  </w:num>
  <w:num w:numId="25">
    <w:abstractNumId w:val="27"/>
  </w:num>
  <w:num w:numId="26">
    <w:abstractNumId w:val="10"/>
  </w:num>
  <w:num w:numId="27">
    <w:abstractNumId w:val="4"/>
  </w:num>
  <w:num w:numId="28">
    <w:abstractNumId w:val="17"/>
  </w:num>
  <w:num w:numId="29">
    <w:abstractNumId w:val="8"/>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4C7"/>
    <w:rsid w:val="00001841"/>
    <w:rsid w:val="00006C8C"/>
    <w:rsid w:val="00007AE4"/>
    <w:rsid w:val="00013220"/>
    <w:rsid w:val="0001536D"/>
    <w:rsid w:val="00015F03"/>
    <w:rsid w:val="00034380"/>
    <w:rsid w:val="00035B64"/>
    <w:rsid w:val="000462E5"/>
    <w:rsid w:val="00064DB1"/>
    <w:rsid w:val="00072955"/>
    <w:rsid w:val="000733DA"/>
    <w:rsid w:val="000878CB"/>
    <w:rsid w:val="00096754"/>
    <w:rsid w:val="000A25D0"/>
    <w:rsid w:val="000A552B"/>
    <w:rsid w:val="000C00F9"/>
    <w:rsid w:val="000C6638"/>
    <w:rsid w:val="000C7048"/>
    <w:rsid w:val="000D655F"/>
    <w:rsid w:val="000E51DD"/>
    <w:rsid w:val="000F5E29"/>
    <w:rsid w:val="00105D8A"/>
    <w:rsid w:val="00117A79"/>
    <w:rsid w:val="001343EF"/>
    <w:rsid w:val="001569B7"/>
    <w:rsid w:val="001742CD"/>
    <w:rsid w:val="001771AD"/>
    <w:rsid w:val="0018203C"/>
    <w:rsid w:val="0019655B"/>
    <w:rsid w:val="001A5439"/>
    <w:rsid w:val="001B6081"/>
    <w:rsid w:val="001B7E8F"/>
    <w:rsid w:val="001C6510"/>
    <w:rsid w:val="001D2031"/>
    <w:rsid w:val="001D33E5"/>
    <w:rsid w:val="001E2B59"/>
    <w:rsid w:val="001F4401"/>
    <w:rsid w:val="001F560B"/>
    <w:rsid w:val="001F719E"/>
    <w:rsid w:val="002007E9"/>
    <w:rsid w:val="00203AB0"/>
    <w:rsid w:val="00203ACC"/>
    <w:rsid w:val="002168AF"/>
    <w:rsid w:val="002262A7"/>
    <w:rsid w:val="00227F70"/>
    <w:rsid w:val="00233007"/>
    <w:rsid w:val="00240C77"/>
    <w:rsid w:val="002508F3"/>
    <w:rsid w:val="0025567F"/>
    <w:rsid w:val="002561E5"/>
    <w:rsid w:val="00257BA0"/>
    <w:rsid w:val="002636F9"/>
    <w:rsid w:val="002650DD"/>
    <w:rsid w:val="0027226C"/>
    <w:rsid w:val="002915FB"/>
    <w:rsid w:val="00292830"/>
    <w:rsid w:val="00296102"/>
    <w:rsid w:val="002A1DC1"/>
    <w:rsid w:val="002A43FA"/>
    <w:rsid w:val="002A5921"/>
    <w:rsid w:val="002A60DE"/>
    <w:rsid w:val="002B203C"/>
    <w:rsid w:val="002B7E11"/>
    <w:rsid w:val="002D39C0"/>
    <w:rsid w:val="002E078B"/>
    <w:rsid w:val="002F1324"/>
    <w:rsid w:val="002F558F"/>
    <w:rsid w:val="00307011"/>
    <w:rsid w:val="00313639"/>
    <w:rsid w:val="00332E4D"/>
    <w:rsid w:val="00337024"/>
    <w:rsid w:val="00347407"/>
    <w:rsid w:val="003529D2"/>
    <w:rsid w:val="0035552B"/>
    <w:rsid w:val="00356AC8"/>
    <w:rsid w:val="00361E24"/>
    <w:rsid w:val="00364153"/>
    <w:rsid w:val="00370BE1"/>
    <w:rsid w:val="00372C39"/>
    <w:rsid w:val="00372CA3"/>
    <w:rsid w:val="00381BD1"/>
    <w:rsid w:val="00385859"/>
    <w:rsid w:val="0038749F"/>
    <w:rsid w:val="003919D1"/>
    <w:rsid w:val="00392D38"/>
    <w:rsid w:val="003A0560"/>
    <w:rsid w:val="003B1DA0"/>
    <w:rsid w:val="003B3362"/>
    <w:rsid w:val="003B59DB"/>
    <w:rsid w:val="003E009C"/>
    <w:rsid w:val="003E6E62"/>
    <w:rsid w:val="003F04C0"/>
    <w:rsid w:val="003F412B"/>
    <w:rsid w:val="003F7738"/>
    <w:rsid w:val="00426DA0"/>
    <w:rsid w:val="00427BD5"/>
    <w:rsid w:val="00433CED"/>
    <w:rsid w:val="00437EC9"/>
    <w:rsid w:val="0044087F"/>
    <w:rsid w:val="0045173B"/>
    <w:rsid w:val="00464040"/>
    <w:rsid w:val="00472D27"/>
    <w:rsid w:val="0048175F"/>
    <w:rsid w:val="004A2C4D"/>
    <w:rsid w:val="004A2C5A"/>
    <w:rsid w:val="004A4249"/>
    <w:rsid w:val="004A59E4"/>
    <w:rsid w:val="004B7944"/>
    <w:rsid w:val="004C751A"/>
    <w:rsid w:val="004D50FF"/>
    <w:rsid w:val="004D757A"/>
    <w:rsid w:val="004F019E"/>
    <w:rsid w:val="004F11C2"/>
    <w:rsid w:val="004F448C"/>
    <w:rsid w:val="00501051"/>
    <w:rsid w:val="00503267"/>
    <w:rsid w:val="005115AC"/>
    <w:rsid w:val="00511ED9"/>
    <w:rsid w:val="0052106E"/>
    <w:rsid w:val="00526509"/>
    <w:rsid w:val="00532CC5"/>
    <w:rsid w:val="00545BDD"/>
    <w:rsid w:val="00547DA6"/>
    <w:rsid w:val="0056784C"/>
    <w:rsid w:val="00573B99"/>
    <w:rsid w:val="0058717C"/>
    <w:rsid w:val="00592013"/>
    <w:rsid w:val="00593D2A"/>
    <w:rsid w:val="005A34CF"/>
    <w:rsid w:val="005A6990"/>
    <w:rsid w:val="005B0C55"/>
    <w:rsid w:val="005D2215"/>
    <w:rsid w:val="005D3EB2"/>
    <w:rsid w:val="005E51EA"/>
    <w:rsid w:val="005E6E67"/>
    <w:rsid w:val="005F6CB8"/>
    <w:rsid w:val="00600CE4"/>
    <w:rsid w:val="00603F2E"/>
    <w:rsid w:val="006069D0"/>
    <w:rsid w:val="00607F9A"/>
    <w:rsid w:val="00610153"/>
    <w:rsid w:val="00612B7B"/>
    <w:rsid w:val="00627A3A"/>
    <w:rsid w:val="006305FA"/>
    <w:rsid w:val="0063421A"/>
    <w:rsid w:val="0064227A"/>
    <w:rsid w:val="0064308B"/>
    <w:rsid w:val="00647F64"/>
    <w:rsid w:val="00652D6A"/>
    <w:rsid w:val="006619C8"/>
    <w:rsid w:val="00662BF1"/>
    <w:rsid w:val="00681E65"/>
    <w:rsid w:val="00684F55"/>
    <w:rsid w:val="00693472"/>
    <w:rsid w:val="00694013"/>
    <w:rsid w:val="006A27E7"/>
    <w:rsid w:val="006A6510"/>
    <w:rsid w:val="006A6E90"/>
    <w:rsid w:val="006A7FE3"/>
    <w:rsid w:val="006B1FF6"/>
    <w:rsid w:val="006D1EF3"/>
    <w:rsid w:val="006D4925"/>
    <w:rsid w:val="006D4A48"/>
    <w:rsid w:val="006E1085"/>
    <w:rsid w:val="006E27D0"/>
    <w:rsid w:val="006E5D36"/>
    <w:rsid w:val="006E664F"/>
    <w:rsid w:val="006E7A86"/>
    <w:rsid w:val="007039B6"/>
    <w:rsid w:val="00726883"/>
    <w:rsid w:val="00726F29"/>
    <w:rsid w:val="00732CFC"/>
    <w:rsid w:val="007334A4"/>
    <w:rsid w:val="00734568"/>
    <w:rsid w:val="0074200B"/>
    <w:rsid w:val="00755C9D"/>
    <w:rsid w:val="0075628A"/>
    <w:rsid w:val="0076045B"/>
    <w:rsid w:val="007614A6"/>
    <w:rsid w:val="007706DF"/>
    <w:rsid w:val="0077247C"/>
    <w:rsid w:val="00777F06"/>
    <w:rsid w:val="00790E1D"/>
    <w:rsid w:val="00797C6A"/>
    <w:rsid w:val="007A0B0C"/>
    <w:rsid w:val="007B2875"/>
    <w:rsid w:val="007B7F26"/>
    <w:rsid w:val="007C0441"/>
    <w:rsid w:val="007C504F"/>
    <w:rsid w:val="007C6FA4"/>
    <w:rsid w:val="007C71C1"/>
    <w:rsid w:val="007E56FF"/>
    <w:rsid w:val="007E77DF"/>
    <w:rsid w:val="007F15FC"/>
    <w:rsid w:val="007F1B4B"/>
    <w:rsid w:val="007F29DA"/>
    <w:rsid w:val="008040EF"/>
    <w:rsid w:val="00813ACC"/>
    <w:rsid w:val="008170AC"/>
    <w:rsid w:val="0082636C"/>
    <w:rsid w:val="0082678C"/>
    <w:rsid w:val="00845101"/>
    <w:rsid w:val="00845F02"/>
    <w:rsid w:val="0085798D"/>
    <w:rsid w:val="0086005E"/>
    <w:rsid w:val="00860A25"/>
    <w:rsid w:val="00863DFD"/>
    <w:rsid w:val="00874857"/>
    <w:rsid w:val="0088034A"/>
    <w:rsid w:val="00880783"/>
    <w:rsid w:val="00893E5F"/>
    <w:rsid w:val="008A1DE5"/>
    <w:rsid w:val="008B3027"/>
    <w:rsid w:val="008F66F4"/>
    <w:rsid w:val="00917165"/>
    <w:rsid w:val="00925BBD"/>
    <w:rsid w:val="00931184"/>
    <w:rsid w:val="009412FC"/>
    <w:rsid w:val="009508CB"/>
    <w:rsid w:val="00950F06"/>
    <w:rsid w:val="00952E35"/>
    <w:rsid w:val="00971F37"/>
    <w:rsid w:val="009740CE"/>
    <w:rsid w:val="0098005F"/>
    <w:rsid w:val="00980F36"/>
    <w:rsid w:val="009A07AD"/>
    <w:rsid w:val="009B68C5"/>
    <w:rsid w:val="009B6CDE"/>
    <w:rsid w:val="009C3BF1"/>
    <w:rsid w:val="009C73BD"/>
    <w:rsid w:val="009D1AE4"/>
    <w:rsid w:val="009E2DC4"/>
    <w:rsid w:val="009F609D"/>
    <w:rsid w:val="009F6D05"/>
    <w:rsid w:val="00A20D56"/>
    <w:rsid w:val="00A23680"/>
    <w:rsid w:val="00A279FF"/>
    <w:rsid w:val="00A30DAA"/>
    <w:rsid w:val="00A434B8"/>
    <w:rsid w:val="00A607A8"/>
    <w:rsid w:val="00A608C8"/>
    <w:rsid w:val="00A6714D"/>
    <w:rsid w:val="00A76023"/>
    <w:rsid w:val="00A900CD"/>
    <w:rsid w:val="00A9756F"/>
    <w:rsid w:val="00A97AB0"/>
    <w:rsid w:val="00AA0CCD"/>
    <w:rsid w:val="00AA4A52"/>
    <w:rsid w:val="00AB4D94"/>
    <w:rsid w:val="00AB60D7"/>
    <w:rsid w:val="00AC0576"/>
    <w:rsid w:val="00AC4C2D"/>
    <w:rsid w:val="00AC77D7"/>
    <w:rsid w:val="00AD3A5D"/>
    <w:rsid w:val="00AD56FB"/>
    <w:rsid w:val="00AD6B5A"/>
    <w:rsid w:val="00AE717D"/>
    <w:rsid w:val="00AF552F"/>
    <w:rsid w:val="00B0235A"/>
    <w:rsid w:val="00B0770D"/>
    <w:rsid w:val="00B12057"/>
    <w:rsid w:val="00B23E55"/>
    <w:rsid w:val="00B27DD0"/>
    <w:rsid w:val="00B34E00"/>
    <w:rsid w:val="00B368DB"/>
    <w:rsid w:val="00B51AFC"/>
    <w:rsid w:val="00B55D8C"/>
    <w:rsid w:val="00B61104"/>
    <w:rsid w:val="00B62087"/>
    <w:rsid w:val="00B66390"/>
    <w:rsid w:val="00B768C4"/>
    <w:rsid w:val="00B860A2"/>
    <w:rsid w:val="00B87268"/>
    <w:rsid w:val="00B9742F"/>
    <w:rsid w:val="00BA1085"/>
    <w:rsid w:val="00BA3065"/>
    <w:rsid w:val="00BA5945"/>
    <w:rsid w:val="00BB0EFC"/>
    <w:rsid w:val="00BB25C4"/>
    <w:rsid w:val="00BB5827"/>
    <w:rsid w:val="00BB6976"/>
    <w:rsid w:val="00BC65A5"/>
    <w:rsid w:val="00BE6C0F"/>
    <w:rsid w:val="00BF6578"/>
    <w:rsid w:val="00C0397F"/>
    <w:rsid w:val="00C16231"/>
    <w:rsid w:val="00C36AC6"/>
    <w:rsid w:val="00C37F4D"/>
    <w:rsid w:val="00C45456"/>
    <w:rsid w:val="00C55EC9"/>
    <w:rsid w:val="00C56452"/>
    <w:rsid w:val="00C60157"/>
    <w:rsid w:val="00C62CCF"/>
    <w:rsid w:val="00C6700F"/>
    <w:rsid w:val="00C703AD"/>
    <w:rsid w:val="00C74304"/>
    <w:rsid w:val="00C74960"/>
    <w:rsid w:val="00C80C5B"/>
    <w:rsid w:val="00C80CBC"/>
    <w:rsid w:val="00C83B89"/>
    <w:rsid w:val="00C94509"/>
    <w:rsid w:val="00C95836"/>
    <w:rsid w:val="00CA2715"/>
    <w:rsid w:val="00CB28B9"/>
    <w:rsid w:val="00CC05E9"/>
    <w:rsid w:val="00CC1DA0"/>
    <w:rsid w:val="00CC2508"/>
    <w:rsid w:val="00CC3DB4"/>
    <w:rsid w:val="00CF66E3"/>
    <w:rsid w:val="00D1149D"/>
    <w:rsid w:val="00D114C7"/>
    <w:rsid w:val="00D20BB1"/>
    <w:rsid w:val="00D25F66"/>
    <w:rsid w:val="00D33377"/>
    <w:rsid w:val="00D36198"/>
    <w:rsid w:val="00D45A0A"/>
    <w:rsid w:val="00D47397"/>
    <w:rsid w:val="00D51A37"/>
    <w:rsid w:val="00D63EE2"/>
    <w:rsid w:val="00D706A4"/>
    <w:rsid w:val="00D713C7"/>
    <w:rsid w:val="00D76276"/>
    <w:rsid w:val="00D863F8"/>
    <w:rsid w:val="00D907F8"/>
    <w:rsid w:val="00D97E44"/>
    <w:rsid w:val="00DA18C0"/>
    <w:rsid w:val="00DA6F61"/>
    <w:rsid w:val="00DC0D66"/>
    <w:rsid w:val="00DC6783"/>
    <w:rsid w:val="00DD4EF1"/>
    <w:rsid w:val="00DD61A5"/>
    <w:rsid w:val="00DD63C4"/>
    <w:rsid w:val="00DF12FE"/>
    <w:rsid w:val="00DF558E"/>
    <w:rsid w:val="00E031E2"/>
    <w:rsid w:val="00E2501D"/>
    <w:rsid w:val="00E3174A"/>
    <w:rsid w:val="00E35B60"/>
    <w:rsid w:val="00E40742"/>
    <w:rsid w:val="00E41C16"/>
    <w:rsid w:val="00E45BEA"/>
    <w:rsid w:val="00E51243"/>
    <w:rsid w:val="00E53CDE"/>
    <w:rsid w:val="00E620F1"/>
    <w:rsid w:val="00E62FB2"/>
    <w:rsid w:val="00E66705"/>
    <w:rsid w:val="00E735F3"/>
    <w:rsid w:val="00E80353"/>
    <w:rsid w:val="00E8431D"/>
    <w:rsid w:val="00E94D12"/>
    <w:rsid w:val="00EA197D"/>
    <w:rsid w:val="00EA4A96"/>
    <w:rsid w:val="00EE039B"/>
    <w:rsid w:val="00EE36B2"/>
    <w:rsid w:val="00EF4F4E"/>
    <w:rsid w:val="00F0069E"/>
    <w:rsid w:val="00F21310"/>
    <w:rsid w:val="00F23B17"/>
    <w:rsid w:val="00F30E54"/>
    <w:rsid w:val="00F3148E"/>
    <w:rsid w:val="00F334ED"/>
    <w:rsid w:val="00F3618D"/>
    <w:rsid w:val="00F42057"/>
    <w:rsid w:val="00F51042"/>
    <w:rsid w:val="00F71540"/>
    <w:rsid w:val="00F768CF"/>
    <w:rsid w:val="00F91A5C"/>
    <w:rsid w:val="00FA4084"/>
    <w:rsid w:val="00FA563A"/>
    <w:rsid w:val="00FB0507"/>
    <w:rsid w:val="00FB0A7C"/>
    <w:rsid w:val="00FB1B6C"/>
    <w:rsid w:val="00FB1B7A"/>
    <w:rsid w:val="00FB3341"/>
    <w:rsid w:val="00FB7FBC"/>
    <w:rsid w:val="00FC4833"/>
    <w:rsid w:val="00FD190D"/>
    <w:rsid w:val="00FE1B3E"/>
    <w:rsid w:val="00FE5E4B"/>
    <w:rsid w:val="00FF6E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19EFE"/>
  <w15:chartTrackingRefBased/>
  <w15:docId w15:val="{ACD97376-1D9E-4AF1-BE2F-A5B37C89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C7"/>
    <w:rPr>
      <w:rFonts w:ascii="Times New Roman" w:eastAsia="Times New Roman" w:hAnsi="Times New Roman" w:cs="Times New Roman"/>
      <w:lang w:eastAsia="en-AU"/>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eastAsiaTheme="minorHAnsi" w:cstheme="minorBidi"/>
      <w:sz w:val="16"/>
      <w:lang w:eastAsia="en-US"/>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75628A"/>
    <w:pPr>
      <w:numPr>
        <w:numId w:val="23"/>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unhideWhenUsed/>
    <w:rsid w:val="00F0069E"/>
    <w:rPr>
      <w:color w:val="0000FF"/>
      <w:u w:val="single"/>
    </w:rPr>
  </w:style>
  <w:style w:type="paragraph" w:customStyle="1" w:styleId="LDStandardBulletedList1">
    <w:name w:val="LD_Standard_Bulleted_List1"/>
    <w:basedOn w:val="LDStandardBulletedList"/>
    <w:uiPriority w:val="11"/>
    <w:qFormat/>
    <w:rsid w:val="0075628A"/>
    <w:pPr>
      <w:numPr>
        <w:ilvl w:val="1"/>
      </w:numPr>
    </w:pPr>
  </w:style>
  <w:style w:type="paragraph" w:customStyle="1" w:styleId="LDStandardBulletedList2">
    <w:name w:val="LD_Standard_Bulleted_List2"/>
    <w:basedOn w:val="LDStandardBulletedList1"/>
    <w:uiPriority w:val="11"/>
    <w:qFormat/>
    <w:rsid w:val="008A1DE5"/>
    <w:pPr>
      <w:numPr>
        <w:ilvl w:val="2"/>
      </w:numPr>
    </w:pPr>
  </w:style>
  <w:style w:type="numbering" w:customStyle="1" w:styleId="VGSOStandardBullets">
    <w:name w:val="VGSO Standard Bullets"/>
    <w:uiPriority w:val="99"/>
    <w:rsid w:val="004A59E4"/>
    <w:pPr>
      <w:numPr>
        <w:numId w:val="4"/>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75628A"/>
    <w:pPr>
      <w:spacing w:after="240"/>
    </w:pPr>
  </w:style>
  <w:style w:type="paragraph" w:customStyle="1" w:styleId="LDIndent1">
    <w:name w:val="LD_Indent1"/>
    <w:basedOn w:val="LDStandardBodyText"/>
    <w:uiPriority w:val="1"/>
    <w:qFormat/>
    <w:rsid w:val="008A1DE5"/>
    <w:pPr>
      <w:ind w:left="851"/>
    </w:pPr>
  </w:style>
  <w:style w:type="paragraph" w:customStyle="1" w:styleId="LDIndent2">
    <w:name w:val="LD_Indent2"/>
    <w:basedOn w:val="LDIndent1"/>
    <w:uiPriority w:val="1"/>
    <w:qFormat/>
    <w:rsid w:val="008A1DE5"/>
    <w:pPr>
      <w:ind w:left="1701"/>
    </w:pPr>
  </w:style>
  <w:style w:type="paragraph" w:customStyle="1" w:styleId="LDIndent3">
    <w:name w:val="LD_Indent3"/>
    <w:basedOn w:val="LDIndent2"/>
    <w:uiPriority w:val="1"/>
    <w:qFormat/>
    <w:rsid w:val="008A1DE5"/>
    <w:pPr>
      <w:ind w:left="2552"/>
    </w:pPr>
  </w:style>
  <w:style w:type="paragraph" w:customStyle="1" w:styleId="LDIndent4">
    <w:name w:val="LD_Indent4"/>
    <w:basedOn w:val="LDIndent3"/>
    <w:uiPriority w:val="1"/>
    <w:qFormat/>
    <w:rsid w:val="008A1DE5"/>
    <w:pPr>
      <w:ind w:left="3402"/>
    </w:pPr>
  </w:style>
  <w:style w:type="paragraph" w:customStyle="1" w:styleId="LDIndent5">
    <w:name w:val="LD_Indent5"/>
    <w:basedOn w:val="LDIndent4"/>
    <w:uiPriority w:val="1"/>
    <w:qFormat/>
    <w:rsid w:val="008A1DE5"/>
    <w:pPr>
      <w:ind w:left="4253"/>
    </w:pPr>
  </w:style>
  <w:style w:type="paragraph" w:customStyle="1" w:styleId="LDIndent6">
    <w:name w:val="LD_Indent6"/>
    <w:basedOn w:val="LDIndent5"/>
    <w:uiPriority w:val="1"/>
    <w:qFormat/>
    <w:rsid w:val="008A1DE5"/>
    <w:pPr>
      <w:ind w:left="5103"/>
    </w:pPr>
  </w:style>
  <w:style w:type="paragraph" w:customStyle="1" w:styleId="Enclosure">
    <w:name w:val="Enclosure"/>
    <w:basedOn w:val="Normal"/>
    <w:uiPriority w:val="2"/>
    <w:rsid w:val="0075628A"/>
    <w:pPr>
      <w:numPr>
        <w:numId w:val="20"/>
      </w:numPr>
    </w:pPr>
    <w:rPr>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75628A"/>
    <w:pPr>
      <w:spacing w:after="240"/>
      <w:ind w:left="851" w:right="851"/>
    </w:pPr>
    <w:rPr>
      <w:sz w:val="20"/>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LDStandardBodyText"/>
    <w:next w:val="LDStandardBodyText"/>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64227A"/>
    <w:rPr>
      <w:i/>
    </w:rPr>
  </w:style>
  <w:style w:type="paragraph" w:customStyle="1" w:styleId="VGSOHdg3">
    <w:name w:val="VGSO Hdg 3"/>
    <w:basedOn w:val="VGSOHdg2"/>
    <w:next w:val="LDStandardBodyText"/>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5E6E67"/>
    <w:pPr>
      <w:keepNext/>
      <w:keepLines/>
      <w:numPr>
        <w:numId w:val="21"/>
      </w:numPr>
    </w:pPr>
    <w:rPr>
      <w:b/>
    </w:rPr>
  </w:style>
  <w:style w:type="paragraph" w:customStyle="1" w:styleId="LDStandard2">
    <w:name w:val="LD_Standard2"/>
    <w:basedOn w:val="LDStandardBodyText"/>
    <w:uiPriority w:val="7"/>
    <w:qFormat/>
    <w:rsid w:val="00C74304"/>
    <w:pPr>
      <w:numPr>
        <w:ilvl w:val="1"/>
        <w:numId w:val="21"/>
      </w:numPr>
    </w:pPr>
    <w:rPr>
      <w:rFonts w:asciiTheme="minorHAnsi" w:hAnsiTheme="minorHAnsi"/>
    </w:rPr>
  </w:style>
  <w:style w:type="paragraph" w:customStyle="1" w:styleId="LDStandard3">
    <w:name w:val="LD_Standard3"/>
    <w:basedOn w:val="LDStandard2"/>
    <w:uiPriority w:val="7"/>
    <w:qFormat/>
    <w:rsid w:val="005D2215"/>
    <w:pPr>
      <w:numPr>
        <w:ilvl w:val="2"/>
      </w:numPr>
      <w:tabs>
        <w:tab w:val="num" w:pos="1701"/>
      </w:tabs>
      <w:ind w:left="850"/>
    </w:pPr>
  </w:style>
  <w:style w:type="paragraph" w:customStyle="1" w:styleId="LDStandard4">
    <w:name w:val="LD_Standard4"/>
    <w:basedOn w:val="LDStandard3"/>
    <w:uiPriority w:val="7"/>
    <w:qFormat/>
    <w:rsid w:val="005E6E67"/>
    <w:pPr>
      <w:numPr>
        <w:ilvl w:val="3"/>
      </w:numPr>
      <w:tabs>
        <w:tab w:val="num" w:pos="1701"/>
      </w:tabs>
    </w:pPr>
  </w:style>
  <w:style w:type="paragraph" w:customStyle="1" w:styleId="LDStandard5">
    <w:name w:val="LD_Standard5"/>
    <w:basedOn w:val="LDStandard4"/>
    <w:uiPriority w:val="7"/>
    <w:qFormat/>
    <w:rsid w:val="005E6E67"/>
    <w:pPr>
      <w:numPr>
        <w:ilvl w:val="4"/>
      </w:numPr>
      <w:tabs>
        <w:tab w:val="num" w:pos="2552"/>
      </w:tabs>
    </w:pPr>
  </w:style>
  <w:style w:type="paragraph" w:customStyle="1" w:styleId="LDStandard6">
    <w:name w:val="LD_Standard6"/>
    <w:basedOn w:val="LDStandard5"/>
    <w:uiPriority w:val="7"/>
    <w:qFormat/>
    <w:rsid w:val="005E6E67"/>
    <w:pPr>
      <w:numPr>
        <w:ilvl w:val="5"/>
      </w:numPr>
      <w:tabs>
        <w:tab w:val="num" w:pos="3402"/>
      </w:tabs>
    </w:pPr>
  </w:style>
  <w:style w:type="paragraph" w:customStyle="1" w:styleId="LDStandard7">
    <w:name w:val="LD_Standard7"/>
    <w:basedOn w:val="LDStandard6"/>
    <w:uiPriority w:val="7"/>
    <w:qFormat/>
    <w:rsid w:val="005E6E67"/>
    <w:pPr>
      <w:numPr>
        <w:ilvl w:val="6"/>
      </w:numPr>
      <w:tabs>
        <w:tab w:val="num" w:pos="4253"/>
      </w:tabs>
    </w:pPr>
  </w:style>
  <w:style w:type="numbering" w:customStyle="1" w:styleId="LDStandardList">
    <w:name w:val="LD_StandardList"/>
    <w:uiPriority w:val="99"/>
    <w:rsid w:val="005E6E67"/>
    <w:pPr>
      <w:numPr>
        <w:numId w:val="30"/>
      </w:numPr>
    </w:pPr>
  </w:style>
  <w:style w:type="paragraph" w:customStyle="1" w:styleId="LDStandardBulletedList3">
    <w:name w:val="LD_Standard_Bulleted_List3"/>
    <w:basedOn w:val="LDStandardBulletedList2"/>
    <w:uiPriority w:val="11"/>
    <w:qFormat/>
    <w:rsid w:val="004A59E4"/>
    <w:pPr>
      <w:numPr>
        <w:ilvl w:val="3"/>
      </w:numPr>
    </w:pPr>
  </w:style>
  <w:style w:type="paragraph" w:customStyle="1" w:styleId="LDStandardBulletedList4">
    <w:name w:val="LD_Standard_Bulleted_List4"/>
    <w:basedOn w:val="LDStandardBulletedList3"/>
    <w:uiPriority w:val="11"/>
    <w:qFormat/>
    <w:rsid w:val="004A59E4"/>
    <w:pPr>
      <w:numPr>
        <w:ilvl w:val="4"/>
      </w:numPr>
    </w:pPr>
  </w:style>
  <w:style w:type="paragraph" w:customStyle="1" w:styleId="LDStandardBulletedList5">
    <w:name w:val="LD_Standard_Bulleted_List5"/>
    <w:basedOn w:val="LDStandardBulletedList4"/>
    <w:uiPriority w:val="11"/>
    <w:qFormat/>
    <w:rsid w:val="004A59E4"/>
    <w:pPr>
      <w:numPr>
        <w:ilvl w:val="5"/>
      </w:numPr>
    </w:pPr>
  </w:style>
  <w:style w:type="paragraph" w:styleId="Title">
    <w:name w:val="Title"/>
    <w:basedOn w:val="Normal"/>
    <w:next w:val="Normal"/>
    <w:link w:val="TitleChar"/>
    <w:uiPriority w:val="10"/>
    <w:qFormat/>
    <w:rsid w:val="007562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5628A"/>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7562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28A"/>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24"/>
      </w:numPr>
    </w:pPr>
    <w:rPr>
      <w:rFonts w:ascii="Segoe UI" w:eastAsia="Times New Roman" w:hAnsi="Segoe UI" w:cs="Times New Roman"/>
      <w:i/>
      <w:sz w:val="20"/>
      <w:szCs w:val="20"/>
    </w:rPr>
  </w:style>
  <w:style w:type="paragraph" w:customStyle="1" w:styleId="Default">
    <w:name w:val="Default"/>
    <w:rsid w:val="00D114C7"/>
    <w:pPr>
      <w:autoSpaceDE w:val="0"/>
      <w:autoSpaceDN w:val="0"/>
      <w:adjustRightInd w:val="0"/>
    </w:pPr>
    <w:rPr>
      <w:rFonts w:ascii="Calibri" w:eastAsia="Yu Mincho" w:hAnsi="Calibri" w:cs="Calibri"/>
      <w:color w:val="000000"/>
      <w:lang w:eastAsia="ja-JP"/>
    </w:rPr>
  </w:style>
  <w:style w:type="paragraph" w:styleId="NormalWeb">
    <w:name w:val="Normal (Web)"/>
    <w:basedOn w:val="Normal"/>
    <w:uiPriority w:val="99"/>
    <w:semiHidden/>
    <w:unhideWhenUsed/>
    <w:rsid w:val="00D114C7"/>
    <w:pPr>
      <w:spacing w:before="100" w:beforeAutospacing="1" w:after="100" w:afterAutospacing="1"/>
    </w:pPr>
  </w:style>
  <w:style w:type="character" w:styleId="CommentReference">
    <w:name w:val="annotation reference"/>
    <w:basedOn w:val="DefaultParagraphFont"/>
    <w:semiHidden/>
    <w:unhideWhenUsed/>
    <w:rsid w:val="00600CE4"/>
    <w:rPr>
      <w:sz w:val="16"/>
      <w:szCs w:val="16"/>
    </w:rPr>
  </w:style>
  <w:style w:type="paragraph" w:styleId="CommentText">
    <w:name w:val="annotation text"/>
    <w:basedOn w:val="Normal"/>
    <w:link w:val="CommentTextChar"/>
    <w:semiHidden/>
    <w:unhideWhenUsed/>
    <w:rsid w:val="00600CE4"/>
    <w:rPr>
      <w:sz w:val="20"/>
      <w:szCs w:val="20"/>
    </w:rPr>
  </w:style>
  <w:style w:type="character" w:customStyle="1" w:styleId="CommentTextChar">
    <w:name w:val="Comment Text Char"/>
    <w:basedOn w:val="DefaultParagraphFont"/>
    <w:link w:val="CommentText"/>
    <w:semiHidden/>
    <w:rsid w:val="00600CE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0CE4"/>
    <w:rPr>
      <w:b/>
      <w:bCs/>
    </w:rPr>
  </w:style>
  <w:style w:type="character" w:customStyle="1" w:styleId="CommentSubjectChar">
    <w:name w:val="Comment Subject Char"/>
    <w:basedOn w:val="CommentTextChar"/>
    <w:link w:val="CommentSubject"/>
    <w:uiPriority w:val="99"/>
    <w:semiHidden/>
    <w:rsid w:val="00600CE4"/>
    <w:rPr>
      <w:rFonts w:ascii="Times New Roman" w:eastAsia="Times New Roman" w:hAnsi="Times New Roman" w:cs="Times New Roman"/>
      <w:b/>
      <w:bCs/>
      <w:sz w:val="20"/>
      <w:szCs w:val="20"/>
      <w:lang w:eastAsia="en-AU"/>
    </w:rPr>
  </w:style>
  <w:style w:type="paragraph" w:styleId="Revision">
    <w:name w:val="Revision"/>
    <w:hidden/>
    <w:uiPriority w:val="99"/>
    <w:semiHidden/>
    <w:rsid w:val="00600CE4"/>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600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E4"/>
    <w:rPr>
      <w:rFonts w:ascii="Segoe UI" w:eastAsia="Times New Roman" w:hAnsi="Segoe UI" w:cs="Segoe UI"/>
      <w:sz w:val="18"/>
      <w:szCs w:val="18"/>
      <w:lang w:eastAsia="en-AU"/>
    </w:rPr>
  </w:style>
  <w:style w:type="character" w:customStyle="1" w:styleId="UnresolvedMention1">
    <w:name w:val="Unresolved Mention1"/>
    <w:basedOn w:val="DefaultParagraphFont"/>
    <w:uiPriority w:val="99"/>
    <w:semiHidden/>
    <w:unhideWhenUsed/>
    <w:rsid w:val="00E6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71686">
      <w:bodyDiv w:val="1"/>
      <w:marLeft w:val="0"/>
      <w:marRight w:val="0"/>
      <w:marTop w:val="0"/>
      <w:marBottom w:val="0"/>
      <w:divBdr>
        <w:top w:val="none" w:sz="0" w:space="0" w:color="auto"/>
        <w:left w:val="none" w:sz="0" w:space="0" w:color="auto"/>
        <w:bottom w:val="none" w:sz="0" w:space="0" w:color="auto"/>
        <w:right w:val="none" w:sz="0" w:space="0" w:color="auto"/>
      </w:divBdr>
      <w:divsChild>
        <w:div w:id="1770349903">
          <w:marLeft w:val="0"/>
          <w:marRight w:val="0"/>
          <w:marTop w:val="0"/>
          <w:marBottom w:val="0"/>
          <w:divBdr>
            <w:top w:val="none" w:sz="0" w:space="0" w:color="auto"/>
            <w:left w:val="none" w:sz="0" w:space="0" w:color="auto"/>
            <w:bottom w:val="none" w:sz="0" w:space="0" w:color="auto"/>
            <w:right w:val="none" w:sz="0" w:space="0" w:color="auto"/>
          </w:divBdr>
          <w:divsChild>
            <w:div w:id="2029259331">
              <w:marLeft w:val="0"/>
              <w:marRight w:val="0"/>
              <w:marTop w:val="0"/>
              <w:marBottom w:val="0"/>
              <w:divBdr>
                <w:top w:val="none" w:sz="0" w:space="0" w:color="auto"/>
                <w:left w:val="none" w:sz="0" w:space="0" w:color="auto"/>
                <w:bottom w:val="none" w:sz="0" w:space="0" w:color="auto"/>
                <w:right w:val="none" w:sz="0" w:space="0" w:color="auto"/>
              </w:divBdr>
            </w:div>
            <w:div w:id="11763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TaxCatchAll xmlns="9ceedb1c-f687-4c7d-b70d-d3664efed103">
      <Value>2</Value>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23" ma:contentTypeDescription="DEDJTR Document" ma:contentTypeScope="" ma:versionID="651eea47a616b60050ebcf8cbc8af4d0">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37e107543ef7584c3eaaff19b7fb4a74"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6111F-04B0-40CC-95B5-26E0F8A58F78}">
  <ds:schemaRefs>
    <ds:schemaRef ds:uri="http://schemas.microsoft.com/office/2006/metadata/properties"/>
    <ds:schemaRef ds:uri="http://schemas.microsoft.com/office/infopath/2007/PartnerControls"/>
    <ds:schemaRef ds:uri="72567383-1e26-4692-bdad-5f5be69e1590"/>
    <ds:schemaRef ds:uri="9ceedb1c-f687-4c7d-b70d-d3664efed103"/>
  </ds:schemaRefs>
</ds:datastoreItem>
</file>

<file path=customXml/itemProps2.xml><?xml version="1.0" encoding="utf-8"?>
<ds:datastoreItem xmlns:ds="http://schemas.openxmlformats.org/officeDocument/2006/customXml" ds:itemID="{4C6E33F9-AEB0-2E43-A637-B6B9441F8287}">
  <ds:schemaRefs>
    <ds:schemaRef ds:uri="http://schemas.openxmlformats.org/officeDocument/2006/bibliography"/>
  </ds:schemaRefs>
</ds:datastoreItem>
</file>

<file path=customXml/itemProps3.xml><?xml version="1.0" encoding="utf-8"?>
<ds:datastoreItem xmlns:ds="http://schemas.openxmlformats.org/officeDocument/2006/customXml" ds:itemID="{2C3C4067-9A15-45A5-9690-DE993056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B8AC7-B086-40CA-8147-01813790B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Christine Harris</cp:lastModifiedBy>
  <cp:revision>6</cp:revision>
  <dcterms:created xsi:type="dcterms:W3CDTF">2020-04-29T03:12:00Z</dcterms:created>
  <dcterms:modified xsi:type="dcterms:W3CDTF">2020-04-30T23:30:00Z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1;#Employment Investment and Trade|55ce1999-68b6-4f37-bdce-009ad410cd2a</vt:lpwstr>
  </property>
  <property fmtid="{D5CDD505-2E9C-101B-9397-08002B2CF9AE}" pid="3" name="ContentTypeId">
    <vt:lpwstr>0x010100611F6414DFB111E7BA88F9DF1743E317002DD16A8C14771D49BA5E952E0FE46776</vt:lpwstr>
  </property>
  <property fmtid="{D5CDD505-2E9C-101B-9397-08002B2CF9AE}" pid="4" name="DEDJTRSection">
    <vt:lpwstr/>
  </property>
  <property fmtid="{D5CDD505-2E9C-101B-9397-08002B2CF9AE}" pid="5" name="DEDJTRBranch">
    <vt:lpwstr/>
  </property>
  <property fmtid="{D5CDD505-2E9C-101B-9397-08002B2CF9AE}" pid="6" name="DEDJTRGroup">
    <vt:lpwstr>2;#Small Business Commission|c496d8bd-8e1d-4703-8b98-f3d591901429</vt:lpwstr>
  </property>
  <property fmtid="{D5CDD505-2E9C-101B-9397-08002B2CF9AE}" pid="7" name="DEDJTRSecurityClassification">
    <vt:lpwstr/>
  </property>
</Properties>
</file>